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00" w:lineRule="exact"/>
        <w:jc w:val="center"/>
        <w:rPr>
          <w:rFonts w:hint="eastAsia" w:ascii="Times New Roman" w:hAnsi="Times New Roman"/>
          <w:b/>
          <w:color w:val="222222"/>
          <w:kern w:val="0"/>
          <w:sz w:val="44"/>
          <w:szCs w:val="44"/>
          <w:lang w:val="en-US" w:eastAsia="zh-CN"/>
        </w:rPr>
      </w:pPr>
    </w:p>
    <w:p>
      <w:pPr>
        <w:keepNext w:val="0"/>
        <w:keepLines w:val="0"/>
        <w:pageBreakBefore w:val="0"/>
        <w:widowControl/>
        <w:kinsoku/>
        <w:wordWrap/>
        <w:overflowPunct/>
        <w:topLinePunct w:val="0"/>
        <w:autoSpaceDE/>
        <w:autoSpaceDN/>
        <w:bidi w:val="0"/>
        <w:adjustRightInd/>
        <w:spacing w:line="600" w:lineRule="exact"/>
        <w:jc w:val="center"/>
        <w:rPr>
          <w:rFonts w:hint="eastAsia" w:ascii="Times New Roman" w:hAnsi="Times New Roman"/>
          <w:b/>
          <w:color w:val="222222"/>
          <w:kern w:val="0"/>
          <w:sz w:val="44"/>
          <w:szCs w:val="44"/>
          <w:lang w:val="en-US" w:eastAsia="zh-CN"/>
        </w:rPr>
      </w:pPr>
    </w:p>
    <w:p>
      <w:pPr>
        <w:keepNext w:val="0"/>
        <w:keepLines w:val="0"/>
        <w:pageBreakBefore w:val="0"/>
        <w:widowControl/>
        <w:kinsoku/>
        <w:wordWrap/>
        <w:overflowPunct/>
        <w:topLinePunct w:val="0"/>
        <w:autoSpaceDE/>
        <w:autoSpaceDN/>
        <w:bidi w:val="0"/>
        <w:adjustRightInd/>
        <w:spacing w:line="600" w:lineRule="exact"/>
        <w:jc w:val="center"/>
        <w:rPr>
          <w:rFonts w:hint="eastAsia" w:ascii="Times New Roman" w:hAnsi="Times New Roman"/>
          <w:b/>
          <w:color w:val="222222"/>
          <w:kern w:val="0"/>
          <w:sz w:val="44"/>
          <w:szCs w:val="44"/>
          <w:lang w:val="en-US" w:eastAsia="zh-CN"/>
        </w:rPr>
      </w:pPr>
    </w:p>
    <w:p>
      <w:pPr>
        <w:keepNext w:val="0"/>
        <w:keepLines w:val="0"/>
        <w:pageBreakBefore w:val="0"/>
        <w:widowControl/>
        <w:kinsoku/>
        <w:wordWrap/>
        <w:overflowPunct/>
        <w:topLinePunct w:val="0"/>
        <w:autoSpaceDE/>
        <w:autoSpaceDN/>
        <w:bidi w:val="0"/>
        <w:adjustRightInd/>
        <w:spacing w:line="600" w:lineRule="exact"/>
        <w:jc w:val="center"/>
        <w:rPr>
          <w:rFonts w:ascii="Times New Roman" w:hAnsi="Times New Roman"/>
          <w:b/>
          <w:color w:val="222222"/>
          <w:kern w:val="0"/>
          <w:sz w:val="44"/>
          <w:szCs w:val="44"/>
        </w:rPr>
      </w:pPr>
      <w:r>
        <w:rPr>
          <w:rFonts w:hint="eastAsia" w:ascii="Times New Roman" w:hAnsi="Times New Roman"/>
          <w:b/>
          <w:color w:val="222222"/>
          <w:kern w:val="0"/>
          <w:sz w:val="44"/>
          <w:szCs w:val="44"/>
          <w:lang w:val="en-US" w:eastAsia="zh-CN"/>
        </w:rPr>
        <w:t>2021年度</w:t>
      </w:r>
      <w:r>
        <w:rPr>
          <w:rFonts w:hint="eastAsia" w:ascii="Times New Roman" w:hAnsi="Times New Roman"/>
          <w:b/>
          <w:color w:val="222222"/>
          <w:kern w:val="0"/>
          <w:sz w:val="44"/>
          <w:szCs w:val="44"/>
        </w:rPr>
        <w:t>部门</w:t>
      </w:r>
      <w:r>
        <w:rPr>
          <w:rFonts w:ascii="Times New Roman" w:hAnsi="Times New Roman"/>
          <w:b/>
          <w:color w:val="222222"/>
          <w:kern w:val="0"/>
          <w:sz w:val="44"/>
          <w:szCs w:val="44"/>
        </w:rPr>
        <w:t>整体支出绩效评价报告</w:t>
      </w:r>
    </w:p>
    <w:p>
      <w:pPr>
        <w:keepNext w:val="0"/>
        <w:keepLines w:val="0"/>
        <w:pageBreakBefore w:val="0"/>
        <w:widowControl/>
        <w:kinsoku/>
        <w:wordWrap/>
        <w:overflowPunct/>
        <w:topLinePunct w:val="0"/>
        <w:autoSpaceDE/>
        <w:autoSpaceDN/>
        <w:bidi w:val="0"/>
        <w:adjustRightInd/>
        <w:spacing w:line="600" w:lineRule="exact"/>
        <w:ind w:firstLine="640"/>
        <w:rPr>
          <w:rFonts w:ascii="Times New Roman" w:hAnsi="Times New Roman" w:eastAsia="仿宋_GB2312"/>
          <w:color w:val="222222"/>
          <w:kern w:val="0"/>
          <w:sz w:val="32"/>
          <w:szCs w:val="32"/>
        </w:rPr>
      </w:pPr>
    </w:p>
    <w:p>
      <w:pPr>
        <w:keepNext w:val="0"/>
        <w:keepLines w:val="0"/>
        <w:pageBreakBefore w:val="0"/>
        <w:widowControl/>
        <w:kinsoku/>
        <w:wordWrap/>
        <w:overflowPunct/>
        <w:topLinePunct w:val="0"/>
        <w:autoSpaceDE/>
        <w:autoSpaceDN/>
        <w:bidi w:val="0"/>
        <w:adjustRightInd/>
        <w:spacing w:line="600" w:lineRule="exact"/>
        <w:ind w:firstLine="640"/>
        <w:rPr>
          <w:rFonts w:ascii="Times New Roman" w:hAnsi="Times New Roman" w:eastAsia="黑体"/>
          <w:color w:val="222222"/>
          <w:kern w:val="0"/>
          <w:sz w:val="32"/>
          <w:szCs w:val="32"/>
        </w:rPr>
      </w:pPr>
      <w:r>
        <w:rPr>
          <w:rFonts w:ascii="Times New Roman" w:hAnsi="Times New Roman" w:eastAsia="黑体"/>
          <w:color w:val="222222"/>
          <w:kern w:val="0"/>
          <w:sz w:val="32"/>
          <w:szCs w:val="32"/>
        </w:rPr>
        <w:t>一、部门概况</w:t>
      </w:r>
    </w:p>
    <w:p>
      <w:pPr>
        <w:keepNext w:val="0"/>
        <w:keepLines w:val="0"/>
        <w:pageBreakBefore w:val="0"/>
        <w:widowControl/>
        <w:kinsoku/>
        <w:wordWrap/>
        <w:overflowPunct/>
        <w:topLinePunct w:val="0"/>
        <w:autoSpaceDE/>
        <w:autoSpaceDN/>
        <w:bidi w:val="0"/>
        <w:adjustRightInd/>
        <w:spacing w:line="600" w:lineRule="exact"/>
        <w:ind w:firstLine="640"/>
        <w:rPr>
          <w:rFonts w:ascii="Times New Roman" w:hAnsi="Times New Roman" w:eastAsia="楷体_GB2312"/>
          <w:color w:val="222222"/>
          <w:kern w:val="0"/>
          <w:sz w:val="32"/>
          <w:szCs w:val="32"/>
        </w:rPr>
      </w:pPr>
      <w:r>
        <w:rPr>
          <w:rFonts w:ascii="Times New Roman" w:hAnsi="Times New Roman" w:eastAsia="楷体_GB2312"/>
          <w:color w:val="222222"/>
          <w:kern w:val="0"/>
          <w:sz w:val="32"/>
          <w:szCs w:val="32"/>
        </w:rPr>
        <w:t>（一） 机构、人员构成</w:t>
      </w:r>
    </w:p>
    <w:p>
      <w:pPr>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rPr>
        <w:t>武陵区编办内设股室 5个：综合组、机构编制一组、机构编制二组、事业单位登记管理组、监督检查组，下设公益一类事业1个：机构编制事务中心 ，全部纳入20</w:t>
      </w:r>
      <w:r>
        <w:rPr>
          <w:rFonts w:hint="eastAsia" w:ascii="仿宋_GB2312" w:hAnsi="仿宋_GB2312" w:eastAsia="仿宋_GB2312" w:cs="仿宋_GB2312"/>
          <w:color w:val="222222"/>
          <w:kern w:val="0"/>
          <w:sz w:val="32"/>
          <w:szCs w:val="32"/>
          <w:lang w:val="en-US" w:eastAsia="zh-CN"/>
        </w:rPr>
        <w:t>21</w:t>
      </w:r>
      <w:r>
        <w:rPr>
          <w:rFonts w:hint="eastAsia" w:ascii="仿宋_GB2312" w:hAnsi="仿宋_GB2312" w:eastAsia="仿宋_GB2312" w:cs="仿宋_GB2312"/>
          <w:color w:val="222222"/>
          <w:kern w:val="0"/>
          <w:sz w:val="32"/>
          <w:szCs w:val="32"/>
        </w:rPr>
        <w:t>年部门预算编制范围。</w:t>
      </w:r>
    </w:p>
    <w:p>
      <w:pPr>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办内共有编制数11人，截止</w:t>
      </w:r>
      <w:r>
        <w:rPr>
          <w:rFonts w:hint="eastAsia" w:ascii="仿宋_GB2312" w:hAnsi="仿宋_GB2312" w:eastAsia="仿宋_GB2312" w:cs="仿宋_GB2312"/>
          <w:color w:val="222222"/>
          <w:kern w:val="0"/>
          <w:sz w:val="32"/>
          <w:szCs w:val="32"/>
          <w:lang w:val="en-US" w:eastAsia="zh-CN"/>
        </w:rPr>
        <w:t>2021</w:t>
      </w:r>
      <w:r>
        <w:rPr>
          <w:rFonts w:hint="eastAsia" w:ascii="仿宋_GB2312" w:hAnsi="仿宋_GB2312" w:eastAsia="仿宋_GB2312" w:cs="仿宋_GB2312"/>
          <w:color w:val="222222"/>
          <w:kern w:val="0"/>
          <w:sz w:val="32"/>
          <w:szCs w:val="32"/>
        </w:rPr>
        <w:t>年年底我办共有在职人员</w:t>
      </w:r>
      <w:r>
        <w:rPr>
          <w:rFonts w:hint="eastAsia" w:ascii="仿宋_GB2312" w:hAnsi="仿宋_GB2312" w:eastAsia="仿宋_GB2312" w:cs="仿宋_GB2312"/>
          <w:color w:val="222222"/>
          <w:kern w:val="0"/>
          <w:sz w:val="32"/>
          <w:szCs w:val="32"/>
          <w:lang w:val="en-US" w:eastAsia="zh-CN"/>
        </w:rPr>
        <w:t>9</w:t>
      </w:r>
      <w:r>
        <w:rPr>
          <w:rFonts w:hint="eastAsia" w:ascii="仿宋_GB2312" w:hAnsi="仿宋_GB2312" w:eastAsia="仿宋_GB2312" w:cs="仿宋_GB2312"/>
          <w:color w:val="222222"/>
          <w:kern w:val="0"/>
          <w:sz w:val="32"/>
          <w:szCs w:val="32"/>
        </w:rPr>
        <w:t>人，退休人员2人。</w:t>
      </w:r>
    </w:p>
    <w:p>
      <w:pPr>
        <w:keepNext w:val="0"/>
        <w:keepLines w:val="0"/>
        <w:pageBreakBefore w:val="0"/>
        <w:widowControl/>
        <w:numPr>
          <w:ilvl w:val="0"/>
          <w:numId w:val="1"/>
        </w:numPr>
        <w:kinsoku/>
        <w:wordWrap/>
        <w:overflowPunct/>
        <w:topLinePunct w:val="0"/>
        <w:autoSpaceDE/>
        <w:autoSpaceDN/>
        <w:bidi w:val="0"/>
        <w:adjustRightInd/>
        <w:spacing w:line="600" w:lineRule="exact"/>
        <w:ind w:firstLine="640"/>
        <w:textAlignment w:val="auto"/>
        <w:rPr>
          <w:rFonts w:ascii="Times New Roman" w:hAnsi="Times New Roman" w:eastAsia="楷体_GB2312"/>
          <w:color w:val="222222"/>
          <w:kern w:val="0"/>
          <w:sz w:val="32"/>
          <w:szCs w:val="32"/>
        </w:rPr>
      </w:pPr>
      <w:r>
        <w:rPr>
          <w:rFonts w:ascii="Times New Roman" w:hAnsi="Times New Roman" w:eastAsia="楷体_GB2312"/>
          <w:color w:val="222222"/>
          <w:kern w:val="0"/>
          <w:sz w:val="32"/>
          <w:szCs w:val="32"/>
        </w:rPr>
        <w:t>单位主要职责</w:t>
      </w:r>
    </w:p>
    <w:p>
      <w:pPr>
        <w:keepNext w:val="0"/>
        <w:keepLines w:val="0"/>
        <w:pageBreakBefore w:val="0"/>
        <w:widowControl/>
        <w:numPr>
          <w:ilvl w:val="0"/>
          <w:numId w:val="0"/>
        </w:numPr>
        <w:kinsoku/>
        <w:wordWrap/>
        <w:overflowPunct/>
        <w:topLinePunct w:val="0"/>
        <w:autoSpaceDE/>
        <w:autoSpaceDN/>
        <w:bidi w:val="0"/>
        <w:adjustRightInd/>
        <w:spacing w:line="600" w:lineRule="exact"/>
        <w:textAlignment w:val="auto"/>
        <w:rPr>
          <w:rFonts w:hint="eastAsia"/>
          <w:lang w:val="en-US" w:eastAsia="zh-CN"/>
        </w:rPr>
      </w:pPr>
      <w:r>
        <w:rPr>
          <w:rFonts w:hint="eastAsia" w:ascii="Times New Roman" w:hAnsi="Times New Roman" w:eastAsia="楷体_GB2312"/>
          <w:color w:val="222222"/>
          <w:kern w:val="0"/>
          <w:sz w:val="32"/>
          <w:szCs w:val="32"/>
          <w:lang w:val="en-US" w:eastAsia="zh-CN"/>
        </w:rPr>
        <w:t xml:space="preserve">   </w:t>
      </w:r>
      <w:r>
        <w:rPr>
          <w:rFonts w:hint="eastAsia" w:ascii="仿宋_GB2312" w:hAnsi="仿宋_GB2312" w:eastAsia="仿宋_GB2312" w:cs="仿宋_GB2312"/>
          <w:color w:val="222222"/>
          <w:kern w:val="0"/>
          <w:sz w:val="32"/>
          <w:szCs w:val="32"/>
          <w:lang w:val="en-US" w:eastAsia="zh-CN"/>
        </w:rPr>
        <w:t xml:space="preserve">  区委编办是负责全区行政管理体制与机构改革及机关事业单位职能配置、机构设置、人员编制、领导职数和事业单位管理工作的职能部门，其主要职能是：:</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贯彻执行党和国家关于行政管理体制改革和机构革及机构编制工作的方针、政策、法规，拟定我区行政管理体制改革和机构改革及机构编制管理的实施办法。统一管理全区各级党政机关和人大、政协、法院、检察院机关以及各级民主党派、人民团体机关的机构编制工作，检查监督各级行政管理体制改革和机构改革方案以及机构编制执行情况。  </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研究拟定全区行政管理体制改革与机构改革方案有关规定；审核区直部门和乡（镇）、街道机构改革方案；指导、协调乡（镇）、街道机构改革以及机构编制管理工作；检查监督全区行政管理体制改革和机构改革方案以及机构编制的执行情况。  </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3.协调区委、区政府各部门的职能配置及其调整；协调区委各部门之间、区政府各部门之间、区委各部门与区政府各部门之间以及各部门与乡（镇）、街道之间的职责分工。  </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4.负责全区党政群机关的机构设置（含内设机构）、人员编制的审核和股级领导职数的审批，提出区委、区政府各部门领导班子职数配备的建议；审核乡（镇）、街道的行政编制总额。  </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5.负责区人大、区政协、区人民法院、区人民检察院机关和各民主党派、人民团体机关的机构设置（含内设机构）、人员编制的审核和股级领导职数的审批，提出领导班子职数配备的建议。  </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研究拟定全区事业单位管理体制和改革方案，负责事业单位机构编制管理工作；负责区直副科级以上事业单位机构设置（含内设机构）、职能配置、人员编制的审核和股级领导职数的审批；审批区直股级事业单位机构设置、职能配置、人员编制和领导职数；提出区直副科级以上事业单位领导班子职数配备的建议；审核全区乡（镇）、街道所属事业单位机构设置；制定全区性事业单位机构编制标准；指导、协调区直与乡（镇）、街道各类事业单位管理体制改革和机构编制管理工作。  </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7.研究拟定全区机构编制宏观规划和年度计划，并监督实施；办理区直机关事业单位上下编事宜；协同有关部门做好区直机关事业单位人员调入、录用和政策性分配安置工作。  </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贯彻执行国家和省、市有关事业单位登记管理的法律、法规、规章，拟定全区事业单位登记管理的规范性文件，并组织实施；负责区本级登记管辖范围内事业单位的登记、年检年审和监督管理工作；负责事业单位登记管理行政复议、行政诉讼应诉工作，检查监督和指导事业单位登记管理工作。  </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9.负责机构改革和机构编制有关信息的采集和情况综合，负责机构编制统计和培训工作。  </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10.归口管理区事业单位登记管理局。  </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11.承办区委、区人民政府交办的其他事项。 </w:t>
      </w:r>
    </w:p>
    <w:p>
      <w:pPr>
        <w:keepNext w:val="0"/>
        <w:keepLines w:val="0"/>
        <w:pageBreakBefore w:val="0"/>
        <w:widowControl/>
        <w:kinsoku/>
        <w:wordWrap/>
        <w:overflowPunct/>
        <w:topLinePunct w:val="0"/>
        <w:autoSpaceDE/>
        <w:autoSpaceDN/>
        <w:bidi w:val="0"/>
        <w:adjustRightInd/>
        <w:spacing w:line="600" w:lineRule="exact"/>
        <w:ind w:firstLine="640"/>
        <w:textAlignment w:val="auto"/>
        <w:rPr>
          <w:rFonts w:ascii="Times New Roman" w:hAnsi="Times New Roman" w:eastAsia="黑体"/>
          <w:color w:val="222222"/>
          <w:kern w:val="0"/>
          <w:sz w:val="32"/>
          <w:szCs w:val="32"/>
        </w:rPr>
      </w:pPr>
      <w:r>
        <w:rPr>
          <w:rFonts w:hint="eastAsia" w:ascii="Times New Roman" w:hAnsi="黑体" w:eastAsia="黑体"/>
          <w:color w:val="222222"/>
          <w:kern w:val="0"/>
          <w:sz w:val="32"/>
          <w:szCs w:val="32"/>
        </w:rPr>
        <w:t>二</w:t>
      </w:r>
      <w:r>
        <w:rPr>
          <w:rFonts w:ascii="Times New Roman" w:hAnsi="黑体" w:eastAsia="黑体"/>
          <w:color w:val="222222"/>
          <w:kern w:val="0"/>
          <w:sz w:val="32"/>
          <w:szCs w:val="32"/>
        </w:rPr>
        <w:t>、</w:t>
      </w:r>
      <w:r>
        <w:rPr>
          <w:rFonts w:hint="eastAsia" w:ascii="Times New Roman" w:hAnsi="黑体" w:eastAsia="黑体"/>
          <w:color w:val="222222"/>
          <w:kern w:val="0"/>
          <w:sz w:val="32"/>
          <w:szCs w:val="32"/>
        </w:rPr>
        <w:t>一般公共预算支出情况</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楷体_GB2312"/>
          <w:sz w:val="32"/>
          <w:szCs w:val="32"/>
        </w:rPr>
      </w:pPr>
      <w:r>
        <w:rPr>
          <w:rFonts w:eastAsia="楷体_GB2312"/>
          <w:sz w:val="32"/>
          <w:szCs w:val="32"/>
        </w:rPr>
        <w:t>（一）基本支出情况</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 w:cs="Times New Roman"/>
          <w:sz w:val="32"/>
          <w:szCs w:val="32"/>
        </w:rPr>
        <w:t xml:space="preserve">1. </w:t>
      </w:r>
      <w:r>
        <w:rPr>
          <w:rFonts w:hint="eastAsia" w:ascii="仿宋_GB2312" w:hAnsi="仿宋_GB2312" w:eastAsia="仿宋_GB2312" w:cs="仿宋_GB2312"/>
          <w:sz w:val="32"/>
          <w:szCs w:val="32"/>
        </w:rPr>
        <w:t>基本支出预、决算情况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年基本支出年初预算</w:t>
      </w:r>
      <w:r>
        <w:rPr>
          <w:rFonts w:hint="eastAsia" w:ascii="仿宋_GB2312" w:hAnsi="仿宋_GB2312" w:eastAsia="仿宋_GB2312" w:cs="仿宋_GB2312"/>
          <w:sz w:val="32"/>
          <w:szCs w:val="32"/>
          <w:u w:val="single"/>
          <w:lang w:val="en-US" w:eastAsia="zh-CN"/>
        </w:rPr>
        <w:t>228.65</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u w:val="single"/>
          <w:lang w:val="en-US" w:eastAsia="zh-CN"/>
        </w:rPr>
        <w:t>168.82</w:t>
      </w:r>
      <w:r>
        <w:rPr>
          <w:rFonts w:hint="eastAsia" w:ascii="仿宋_GB2312" w:hAnsi="仿宋_GB2312" w:eastAsia="仿宋_GB2312" w:cs="仿宋_GB2312"/>
          <w:sz w:val="32"/>
          <w:szCs w:val="32"/>
        </w:rPr>
        <w:t>万元、一般商品和服务支出</w:t>
      </w:r>
      <w:r>
        <w:rPr>
          <w:rFonts w:hint="eastAsia" w:ascii="仿宋_GB2312" w:hAnsi="仿宋_GB2312" w:eastAsia="仿宋_GB2312" w:cs="仿宋_GB2312"/>
          <w:sz w:val="32"/>
          <w:szCs w:val="32"/>
          <w:u w:val="single"/>
          <w:lang w:val="en-US" w:eastAsia="zh-CN"/>
        </w:rPr>
        <w:t>48.58</w:t>
      </w:r>
      <w:r>
        <w:rPr>
          <w:rFonts w:hint="eastAsia" w:ascii="仿宋_GB2312" w:hAnsi="仿宋_GB2312" w:eastAsia="仿宋_GB2312" w:cs="仿宋_GB2312"/>
          <w:sz w:val="32"/>
          <w:szCs w:val="32"/>
        </w:rPr>
        <w:t>万元、对个人和家庭补助</w:t>
      </w:r>
      <w:r>
        <w:rPr>
          <w:rFonts w:hint="eastAsia" w:ascii="仿宋_GB2312" w:hAnsi="仿宋_GB2312" w:eastAsia="仿宋_GB2312" w:cs="仿宋_GB2312"/>
          <w:sz w:val="32"/>
          <w:szCs w:val="32"/>
          <w:u w:val="single"/>
          <w:lang w:val="en-US" w:eastAsia="zh-CN"/>
        </w:rPr>
        <w:t>11.25</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万元，年内调整预算</w:t>
      </w:r>
      <w:r>
        <w:rPr>
          <w:rFonts w:hint="eastAsia" w:ascii="仿宋_GB2312" w:hAnsi="仿宋_GB2312" w:eastAsia="仿宋_GB2312" w:cs="仿宋_GB2312"/>
          <w:sz w:val="32"/>
          <w:szCs w:val="32"/>
          <w:u w:val="single"/>
          <w:lang w:val="en-US" w:eastAsia="zh-CN"/>
        </w:rPr>
        <w:t xml:space="preserve"> 0</w:t>
      </w:r>
      <w:r>
        <w:rPr>
          <w:rFonts w:hint="eastAsia" w:ascii="仿宋_GB2312" w:hAnsi="仿宋_GB2312" w:eastAsia="仿宋_GB2312" w:cs="仿宋_GB2312"/>
          <w:sz w:val="32"/>
          <w:szCs w:val="32"/>
        </w:rPr>
        <w:t>万元，全年可执行预算合计</w:t>
      </w:r>
      <w:r>
        <w:rPr>
          <w:rFonts w:hint="eastAsia" w:ascii="仿宋_GB2312" w:hAnsi="仿宋_GB2312" w:eastAsia="仿宋_GB2312" w:cs="仿宋_GB2312"/>
          <w:sz w:val="32"/>
          <w:szCs w:val="32"/>
          <w:u w:val="single"/>
          <w:lang w:val="en-US" w:eastAsia="zh-CN"/>
        </w:rPr>
        <w:t>228.65</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年基本支出决算</w:t>
      </w:r>
      <w:r>
        <w:rPr>
          <w:rFonts w:hint="eastAsia" w:ascii="仿宋_GB2312" w:hAnsi="仿宋_GB2312" w:eastAsia="仿宋_GB2312" w:cs="仿宋_GB2312"/>
          <w:sz w:val="32"/>
          <w:szCs w:val="32"/>
          <w:u w:val="single"/>
          <w:lang w:val="en-US" w:eastAsia="zh-CN"/>
        </w:rPr>
        <w:t>257.91</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u w:val="single"/>
          <w:lang w:val="en-US" w:eastAsia="zh-CN"/>
        </w:rPr>
        <w:t>192.03</w:t>
      </w:r>
      <w:r>
        <w:rPr>
          <w:rFonts w:hint="eastAsia" w:ascii="仿宋_GB2312" w:hAnsi="仿宋_GB2312" w:eastAsia="仿宋_GB2312" w:cs="仿宋_GB2312"/>
          <w:sz w:val="32"/>
          <w:szCs w:val="32"/>
        </w:rPr>
        <w:t>万元、一般商品和服务支出</w:t>
      </w:r>
      <w:r>
        <w:rPr>
          <w:rFonts w:hint="eastAsia" w:ascii="仿宋_GB2312" w:hAnsi="仿宋_GB2312" w:eastAsia="仿宋_GB2312" w:cs="仿宋_GB2312"/>
          <w:sz w:val="32"/>
          <w:szCs w:val="32"/>
          <w:u w:val="single"/>
          <w:lang w:val="en-US" w:eastAsia="zh-CN"/>
        </w:rPr>
        <w:t>48.41</w:t>
      </w:r>
      <w:r>
        <w:rPr>
          <w:rFonts w:hint="eastAsia" w:ascii="仿宋_GB2312" w:hAnsi="仿宋_GB2312" w:eastAsia="仿宋_GB2312" w:cs="仿宋_GB2312"/>
          <w:sz w:val="32"/>
          <w:szCs w:val="32"/>
        </w:rPr>
        <w:t>万元、对个人和家庭补助</w:t>
      </w:r>
      <w:r>
        <w:rPr>
          <w:rFonts w:hint="eastAsia" w:ascii="仿宋_GB2312" w:hAnsi="仿宋_GB2312" w:eastAsia="仿宋_GB2312" w:cs="仿宋_GB2312"/>
          <w:sz w:val="32"/>
          <w:szCs w:val="32"/>
          <w:u w:val="single"/>
          <w:lang w:val="en-US" w:eastAsia="zh-CN"/>
        </w:rPr>
        <w:t>17.47</w:t>
      </w:r>
      <w:r>
        <w:rPr>
          <w:rFonts w:hint="eastAsia" w:ascii="仿宋_GB2312" w:hAnsi="仿宋_GB2312" w:eastAsia="仿宋_GB2312" w:cs="仿宋_GB2312"/>
          <w:sz w:val="32"/>
          <w:szCs w:val="32"/>
        </w:rPr>
        <w:t>万元。年末结转</w:t>
      </w:r>
      <w:r>
        <w:rPr>
          <w:rFonts w:hint="eastAsia" w:ascii="仿宋_GB2312" w:hAnsi="仿宋_GB2312" w:eastAsia="仿宋_GB2312" w:cs="仿宋_GB2312"/>
          <w:sz w:val="32"/>
          <w:szCs w:val="32"/>
          <w:lang w:val="en-US" w:eastAsia="zh-CN"/>
        </w:rPr>
        <w:t>结余</w:t>
      </w:r>
      <w:r>
        <w:rPr>
          <w:rFonts w:hint="eastAsia" w:ascii="仿宋_GB2312" w:hAnsi="仿宋_GB2312" w:eastAsia="仿宋_GB2312" w:cs="仿宋_GB2312"/>
          <w:sz w:val="32"/>
          <w:szCs w:val="32"/>
          <w:u w:val="single"/>
          <w:lang w:val="en-US" w:eastAsia="zh-CN"/>
        </w:rPr>
        <w:t xml:space="preserve"> 0 </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基本支出决算与预算数、上年数对比情况</w:t>
      </w:r>
    </w:p>
    <w:p>
      <w:pPr>
        <w:keepNext w:val="0"/>
        <w:keepLines w:val="0"/>
        <w:pageBreakBefore w:val="0"/>
        <w:kinsoku/>
        <w:wordWrap/>
        <w:overflowPunct/>
        <w:topLinePunct w:val="0"/>
        <w:autoSpaceDE/>
        <w:autoSpaceDN/>
        <w:bidi w:val="0"/>
        <w:adjustRightInd/>
        <w:spacing w:line="600" w:lineRule="exact"/>
        <w:ind w:firstLine="480" w:firstLineChars="200"/>
        <w:jc w:val="right"/>
        <w:rPr>
          <w:rFonts w:hint="eastAsia" w:ascii="仿宋" w:hAnsi="仿宋" w:eastAsia="仿宋" w:cs="仿宋"/>
          <w:sz w:val="24"/>
          <w:szCs w:val="24"/>
        </w:rPr>
      </w:pPr>
      <w:r>
        <w:rPr>
          <w:rFonts w:hint="eastAsia" w:ascii="仿宋" w:hAnsi="仿宋" w:eastAsia="仿宋" w:cs="仿宋"/>
          <w:sz w:val="24"/>
          <w:szCs w:val="24"/>
        </w:rPr>
        <w:t>金额单位：万元</w:t>
      </w:r>
    </w:p>
    <w:tbl>
      <w:tblPr>
        <w:tblStyle w:val="5"/>
        <w:tblW w:w="5377" w:type="pct"/>
        <w:jc w:val="center"/>
        <w:tblLayout w:type="fixed"/>
        <w:tblCellMar>
          <w:top w:w="0" w:type="dxa"/>
          <w:left w:w="108" w:type="dxa"/>
          <w:bottom w:w="0" w:type="dxa"/>
          <w:right w:w="108" w:type="dxa"/>
        </w:tblCellMar>
      </w:tblPr>
      <w:tblGrid>
        <w:gridCol w:w="576"/>
        <w:gridCol w:w="1912"/>
        <w:gridCol w:w="982"/>
        <w:gridCol w:w="992"/>
        <w:gridCol w:w="1025"/>
        <w:gridCol w:w="1179"/>
        <w:gridCol w:w="970"/>
        <w:gridCol w:w="1179"/>
        <w:gridCol w:w="1051"/>
      </w:tblGrid>
      <w:tr>
        <w:tblPrEx>
          <w:tblCellMar>
            <w:top w:w="0" w:type="dxa"/>
            <w:left w:w="108" w:type="dxa"/>
            <w:bottom w:w="0" w:type="dxa"/>
            <w:right w:w="108" w:type="dxa"/>
          </w:tblCellMar>
        </w:tblPrEx>
        <w:trPr>
          <w:trHeight w:val="750" w:hRule="atLeast"/>
          <w:tblHeader/>
          <w:jc w:val="center"/>
        </w:trPr>
        <w:tc>
          <w:tcPr>
            <w:tcW w:w="29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序号</w:t>
            </w:r>
          </w:p>
        </w:tc>
        <w:tc>
          <w:tcPr>
            <w:tcW w:w="968"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项目</w:t>
            </w:r>
          </w:p>
        </w:tc>
        <w:tc>
          <w:tcPr>
            <w:tcW w:w="49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default" w:ascii="Times New Roman" w:hAnsi="Times New Roman" w:eastAsia="仿宋" w:cs="Times New Roman"/>
                <w:kern w:val="0"/>
                <w:sz w:val="24"/>
                <w:szCs w:val="24"/>
                <w:lang w:val="en-US" w:eastAsia="zh-CN"/>
              </w:rPr>
              <w:t>1</w:t>
            </w:r>
            <w:r>
              <w:rPr>
                <w:rFonts w:hint="eastAsia" w:ascii="Times New Roman" w:hAnsi="Times New Roman" w:eastAsia="仿宋" w:cs="Times New Roman"/>
                <w:kern w:val="0"/>
                <w:sz w:val="24"/>
                <w:szCs w:val="24"/>
                <w:lang w:val="en-US" w:eastAsia="zh-CN"/>
              </w:rPr>
              <w:t>0</w:t>
            </w:r>
            <w:r>
              <w:rPr>
                <w:rFonts w:hint="default" w:ascii="Times New Roman" w:hAnsi="Times New Roman" w:eastAsia="仿宋" w:cs="Times New Roman"/>
                <w:kern w:val="0"/>
                <w:sz w:val="24"/>
                <w:szCs w:val="24"/>
              </w:rPr>
              <w:t>年</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决算</w:t>
            </w:r>
          </w:p>
        </w:tc>
        <w:tc>
          <w:tcPr>
            <w:tcW w:w="50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default" w:ascii="Times New Roman" w:hAnsi="Times New Roman" w:eastAsia="仿宋" w:cs="Times New Roman"/>
                <w:kern w:val="0"/>
                <w:sz w:val="24"/>
                <w:szCs w:val="24"/>
                <w:lang w:val="en-US" w:eastAsia="zh-CN"/>
              </w:rPr>
              <w:t>2</w:t>
            </w: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年</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初预算</w:t>
            </w:r>
          </w:p>
        </w:tc>
        <w:tc>
          <w:tcPr>
            <w:tcW w:w="51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default" w:ascii="Times New Roman" w:hAnsi="Times New Roman" w:eastAsia="仿宋" w:cs="Times New Roman"/>
                <w:kern w:val="0"/>
                <w:sz w:val="24"/>
                <w:szCs w:val="24"/>
                <w:lang w:val="en-US" w:eastAsia="zh-CN"/>
              </w:rPr>
              <w:t>2</w:t>
            </w: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年决算</w:t>
            </w:r>
          </w:p>
        </w:tc>
        <w:tc>
          <w:tcPr>
            <w:tcW w:w="108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default" w:ascii="Times New Roman" w:hAnsi="Times New Roman" w:eastAsia="仿宋" w:cs="Times New Roman"/>
                <w:kern w:val="0"/>
                <w:sz w:val="24"/>
                <w:szCs w:val="24"/>
                <w:lang w:val="en-US" w:eastAsia="zh-CN"/>
              </w:rPr>
              <w:t>2</w:t>
            </w: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年决算较年初预算增+（减-）</w:t>
            </w:r>
          </w:p>
        </w:tc>
        <w:tc>
          <w:tcPr>
            <w:tcW w:w="113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default" w:ascii="Times New Roman" w:hAnsi="Times New Roman" w:eastAsia="仿宋" w:cs="Times New Roman"/>
                <w:kern w:val="0"/>
                <w:sz w:val="24"/>
                <w:szCs w:val="24"/>
                <w:lang w:val="en-US" w:eastAsia="zh-CN"/>
              </w:rPr>
              <w:t>2</w:t>
            </w: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年决算较上年决算增+（减-）</w:t>
            </w:r>
          </w:p>
        </w:tc>
      </w:tr>
      <w:tr>
        <w:tblPrEx>
          <w:tblCellMar>
            <w:top w:w="0" w:type="dxa"/>
            <w:left w:w="108" w:type="dxa"/>
            <w:bottom w:w="0" w:type="dxa"/>
            <w:right w:w="108" w:type="dxa"/>
          </w:tblCellMar>
        </w:tblPrEx>
        <w:trPr>
          <w:trHeight w:val="458" w:hRule="atLeast"/>
          <w:tblHeader/>
          <w:jc w:val="center"/>
        </w:trPr>
        <w:tc>
          <w:tcPr>
            <w:tcW w:w="291"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p>
        </w:tc>
        <w:tc>
          <w:tcPr>
            <w:tcW w:w="968"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p>
        </w:tc>
        <w:tc>
          <w:tcPr>
            <w:tcW w:w="49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仿宋" w:cs="Times New Roman"/>
                <w:kern w:val="0"/>
                <w:sz w:val="24"/>
                <w:szCs w:val="24"/>
              </w:rPr>
            </w:pPr>
          </w:p>
        </w:tc>
        <w:tc>
          <w:tcPr>
            <w:tcW w:w="50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p>
        </w:tc>
        <w:tc>
          <w:tcPr>
            <w:tcW w:w="519"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p>
        </w:tc>
        <w:tc>
          <w:tcPr>
            <w:tcW w:w="59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金额</w:t>
            </w:r>
          </w:p>
        </w:tc>
        <w:tc>
          <w:tcPr>
            <w:tcW w:w="49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比例</w:t>
            </w:r>
          </w:p>
        </w:tc>
        <w:tc>
          <w:tcPr>
            <w:tcW w:w="59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金额</w:t>
            </w:r>
          </w:p>
        </w:tc>
        <w:tc>
          <w:tcPr>
            <w:tcW w:w="53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比例</w:t>
            </w:r>
          </w:p>
        </w:tc>
      </w:tr>
      <w:tr>
        <w:tblPrEx>
          <w:tblCellMar>
            <w:top w:w="0" w:type="dxa"/>
            <w:left w:w="108" w:type="dxa"/>
            <w:bottom w:w="0" w:type="dxa"/>
            <w:right w:w="108" w:type="dxa"/>
          </w:tblCellMar>
        </w:tblPrEx>
        <w:trPr>
          <w:trHeight w:val="458" w:hRule="atLeast"/>
          <w:jc w:val="center"/>
        </w:trPr>
        <w:tc>
          <w:tcPr>
            <w:tcW w:w="291" w:type="pc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968" w:type="pc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工资福利支出</w:t>
            </w:r>
          </w:p>
        </w:tc>
        <w:tc>
          <w:tcPr>
            <w:tcW w:w="497"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171.1</w:t>
            </w:r>
          </w:p>
        </w:tc>
        <w:tc>
          <w:tcPr>
            <w:tcW w:w="5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168.82</w:t>
            </w:r>
          </w:p>
        </w:tc>
        <w:tc>
          <w:tcPr>
            <w:tcW w:w="519"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192.03</w:t>
            </w:r>
          </w:p>
        </w:tc>
        <w:tc>
          <w:tcPr>
            <w:tcW w:w="597"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+23.21</w:t>
            </w:r>
          </w:p>
        </w:tc>
        <w:tc>
          <w:tcPr>
            <w:tcW w:w="491"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13.75</w:t>
            </w:r>
          </w:p>
        </w:tc>
        <w:tc>
          <w:tcPr>
            <w:tcW w:w="597"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+20.93</w:t>
            </w:r>
          </w:p>
        </w:tc>
        <w:tc>
          <w:tcPr>
            <w:tcW w:w="532" w:type="pc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12.23</w:t>
            </w:r>
          </w:p>
        </w:tc>
      </w:tr>
      <w:tr>
        <w:tblPrEx>
          <w:tblCellMar>
            <w:top w:w="0" w:type="dxa"/>
            <w:left w:w="108" w:type="dxa"/>
            <w:bottom w:w="0" w:type="dxa"/>
            <w:right w:w="108" w:type="dxa"/>
          </w:tblCellMar>
        </w:tblPrEx>
        <w:trPr>
          <w:trHeight w:val="458" w:hRule="atLeast"/>
          <w:jc w:val="center"/>
        </w:trPr>
        <w:tc>
          <w:tcPr>
            <w:tcW w:w="2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9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一般商品和服务支出</w:t>
            </w:r>
          </w:p>
        </w:tc>
        <w:tc>
          <w:tcPr>
            <w:tcW w:w="4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40.76</w:t>
            </w:r>
          </w:p>
        </w:tc>
        <w:tc>
          <w:tcPr>
            <w:tcW w:w="5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48.58</w:t>
            </w:r>
          </w:p>
        </w:tc>
        <w:tc>
          <w:tcPr>
            <w:tcW w:w="5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48.41</w:t>
            </w:r>
          </w:p>
        </w:tc>
        <w:tc>
          <w:tcPr>
            <w:tcW w:w="5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-0.17</w:t>
            </w:r>
          </w:p>
        </w:tc>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0.35</w:t>
            </w:r>
          </w:p>
        </w:tc>
        <w:tc>
          <w:tcPr>
            <w:tcW w:w="5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+7.65</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18.77</w:t>
            </w:r>
          </w:p>
        </w:tc>
      </w:tr>
      <w:tr>
        <w:tblPrEx>
          <w:tblCellMar>
            <w:top w:w="0" w:type="dxa"/>
            <w:left w:w="108" w:type="dxa"/>
            <w:bottom w:w="0" w:type="dxa"/>
            <w:right w:w="108" w:type="dxa"/>
          </w:tblCellMar>
        </w:tblPrEx>
        <w:trPr>
          <w:trHeight w:val="458" w:hRule="atLeast"/>
          <w:jc w:val="center"/>
        </w:trPr>
        <w:tc>
          <w:tcPr>
            <w:tcW w:w="2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9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对个人和家庭补助</w:t>
            </w:r>
          </w:p>
        </w:tc>
        <w:tc>
          <w:tcPr>
            <w:tcW w:w="4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10.82</w:t>
            </w:r>
          </w:p>
        </w:tc>
        <w:tc>
          <w:tcPr>
            <w:tcW w:w="5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11.25</w:t>
            </w:r>
          </w:p>
        </w:tc>
        <w:tc>
          <w:tcPr>
            <w:tcW w:w="5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17.47</w:t>
            </w:r>
          </w:p>
        </w:tc>
        <w:tc>
          <w:tcPr>
            <w:tcW w:w="5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+6.22</w:t>
            </w:r>
          </w:p>
        </w:tc>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55.29</w:t>
            </w:r>
          </w:p>
        </w:tc>
        <w:tc>
          <w:tcPr>
            <w:tcW w:w="5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+6.65</w:t>
            </w:r>
          </w:p>
        </w:tc>
        <w:tc>
          <w:tcPr>
            <w:tcW w:w="5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61.46</w:t>
            </w:r>
          </w:p>
        </w:tc>
      </w:tr>
    </w:tbl>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3. </w:t>
      </w:r>
      <w:r>
        <w:rPr>
          <w:rFonts w:hint="eastAsia" w:ascii="仿宋_GB2312" w:hAnsi="仿宋_GB2312" w:eastAsia="仿宋_GB2312" w:cs="仿宋_GB2312"/>
          <w:sz w:val="32"/>
          <w:szCs w:val="32"/>
          <w:lang w:eastAsia="zh-CN"/>
        </w:rPr>
        <w:t>“三公经费”</w:t>
      </w:r>
      <w:r>
        <w:rPr>
          <w:rFonts w:hint="eastAsia" w:ascii="仿宋_GB2312" w:hAnsi="仿宋_GB2312" w:eastAsia="仿宋_GB2312" w:cs="仿宋_GB2312"/>
          <w:sz w:val="32"/>
          <w:szCs w:val="32"/>
        </w:rPr>
        <w:t>支出情况</w:t>
      </w:r>
    </w:p>
    <w:p>
      <w:pPr>
        <w:keepNext w:val="0"/>
        <w:keepLines w:val="0"/>
        <w:pageBreakBefore w:val="0"/>
        <w:kinsoku/>
        <w:wordWrap/>
        <w:overflowPunct/>
        <w:topLinePunct w:val="0"/>
        <w:autoSpaceDE/>
        <w:autoSpaceDN/>
        <w:bidi w:val="0"/>
        <w:adjustRightInd/>
        <w:snapToGrid/>
        <w:spacing w:line="600" w:lineRule="exact"/>
        <w:ind w:firstLine="480" w:firstLineChars="200"/>
        <w:jc w:val="right"/>
        <w:rPr>
          <w:rFonts w:hint="eastAsia" w:ascii="仿宋" w:hAnsi="仿宋" w:eastAsia="仿宋" w:cs="仿宋"/>
          <w:sz w:val="24"/>
          <w:szCs w:val="24"/>
        </w:rPr>
      </w:pPr>
      <w:r>
        <w:rPr>
          <w:rFonts w:hint="eastAsia" w:ascii="仿宋" w:hAnsi="仿宋" w:eastAsia="仿宋" w:cs="仿宋"/>
          <w:sz w:val="24"/>
          <w:szCs w:val="24"/>
        </w:rPr>
        <w:t>金额单位：万元</w:t>
      </w:r>
    </w:p>
    <w:tbl>
      <w:tblPr>
        <w:tblStyle w:val="5"/>
        <w:tblW w:w="5377" w:type="pct"/>
        <w:jc w:val="center"/>
        <w:tblLayout w:type="autofit"/>
        <w:tblCellMar>
          <w:top w:w="0" w:type="dxa"/>
          <w:left w:w="108" w:type="dxa"/>
          <w:bottom w:w="0" w:type="dxa"/>
          <w:right w:w="108" w:type="dxa"/>
        </w:tblCellMar>
      </w:tblPr>
      <w:tblGrid>
        <w:gridCol w:w="554"/>
        <w:gridCol w:w="1678"/>
        <w:gridCol w:w="1082"/>
        <w:gridCol w:w="1015"/>
        <w:gridCol w:w="1009"/>
        <w:gridCol w:w="1161"/>
        <w:gridCol w:w="1171"/>
        <w:gridCol w:w="1137"/>
        <w:gridCol w:w="1058"/>
      </w:tblGrid>
      <w:tr>
        <w:tblPrEx>
          <w:tblCellMar>
            <w:top w:w="0" w:type="dxa"/>
            <w:left w:w="108" w:type="dxa"/>
            <w:bottom w:w="0" w:type="dxa"/>
            <w:right w:w="108" w:type="dxa"/>
          </w:tblCellMar>
        </w:tblPrEx>
        <w:trPr>
          <w:trHeight w:val="750" w:hRule="atLeast"/>
          <w:jc w:val="center"/>
        </w:trPr>
        <w:tc>
          <w:tcPr>
            <w:tcW w:w="28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序号</w:t>
            </w:r>
          </w:p>
        </w:tc>
        <w:tc>
          <w:tcPr>
            <w:tcW w:w="85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项   目</w:t>
            </w:r>
          </w:p>
        </w:tc>
        <w:tc>
          <w:tcPr>
            <w:tcW w:w="548"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eastAsia" w:ascii="Times New Roman" w:hAnsi="Times New Roman" w:eastAsia="仿宋" w:cs="Times New Roman"/>
                <w:kern w:val="0"/>
                <w:sz w:val="24"/>
                <w:szCs w:val="24"/>
                <w:lang w:val="en-US" w:eastAsia="zh-CN"/>
              </w:rPr>
              <w:t>20</w:t>
            </w:r>
            <w:r>
              <w:rPr>
                <w:rFonts w:hint="default" w:ascii="Times New Roman" w:hAnsi="Times New Roman" w:eastAsia="仿宋" w:cs="Times New Roman"/>
                <w:kern w:val="0"/>
                <w:sz w:val="24"/>
                <w:szCs w:val="24"/>
              </w:rPr>
              <w:t>年决算</w:t>
            </w:r>
          </w:p>
        </w:tc>
        <w:tc>
          <w:tcPr>
            <w:tcW w:w="51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eastAsia" w:eastAsia="仿宋" w:cs="Times New Roman"/>
                <w:kern w:val="0"/>
                <w:sz w:val="24"/>
                <w:szCs w:val="24"/>
                <w:lang w:val="en-US" w:eastAsia="zh-CN"/>
              </w:rPr>
              <w:t>21</w:t>
            </w:r>
            <w:r>
              <w:rPr>
                <w:rFonts w:hint="default" w:ascii="Times New Roman" w:hAnsi="Times New Roman" w:eastAsia="仿宋" w:cs="Times New Roman"/>
                <w:kern w:val="0"/>
                <w:sz w:val="24"/>
                <w:szCs w:val="24"/>
              </w:rPr>
              <w:t>年预算</w:t>
            </w:r>
          </w:p>
        </w:tc>
        <w:tc>
          <w:tcPr>
            <w:tcW w:w="51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eastAsia" w:eastAsia="仿宋" w:cs="Times New Roman"/>
                <w:kern w:val="0"/>
                <w:sz w:val="24"/>
                <w:szCs w:val="24"/>
                <w:lang w:val="en-US" w:eastAsia="zh-CN"/>
              </w:rPr>
              <w:t>21</w:t>
            </w:r>
            <w:r>
              <w:rPr>
                <w:rFonts w:hint="default" w:ascii="Times New Roman" w:hAnsi="Times New Roman" w:eastAsia="仿宋" w:cs="Times New Roman"/>
                <w:kern w:val="0"/>
                <w:sz w:val="24"/>
                <w:szCs w:val="24"/>
              </w:rPr>
              <w:t>年决算</w:t>
            </w:r>
          </w:p>
        </w:tc>
        <w:tc>
          <w:tcPr>
            <w:tcW w:w="1181"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eastAsia" w:eastAsia="仿宋" w:cs="Times New Roman"/>
                <w:kern w:val="0"/>
                <w:sz w:val="24"/>
                <w:szCs w:val="24"/>
                <w:lang w:val="en-US" w:eastAsia="zh-CN"/>
              </w:rPr>
              <w:t>21</w:t>
            </w:r>
            <w:r>
              <w:rPr>
                <w:rFonts w:hint="default" w:ascii="Times New Roman" w:hAnsi="Times New Roman" w:eastAsia="仿宋" w:cs="Times New Roman"/>
                <w:kern w:val="0"/>
                <w:sz w:val="24"/>
                <w:szCs w:val="24"/>
              </w:rPr>
              <w:t>年决算较年初预算增+（减-）</w:t>
            </w:r>
          </w:p>
        </w:tc>
        <w:tc>
          <w:tcPr>
            <w:tcW w:w="111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w:t>
            </w:r>
            <w:r>
              <w:rPr>
                <w:rFonts w:hint="eastAsia" w:eastAsia="仿宋" w:cs="Times New Roman"/>
                <w:kern w:val="0"/>
                <w:sz w:val="24"/>
                <w:szCs w:val="24"/>
                <w:lang w:val="en-US" w:eastAsia="zh-CN"/>
              </w:rPr>
              <w:t>21</w:t>
            </w:r>
            <w:r>
              <w:rPr>
                <w:rFonts w:hint="default" w:ascii="Times New Roman" w:hAnsi="Times New Roman" w:eastAsia="仿宋" w:cs="Times New Roman"/>
                <w:kern w:val="0"/>
                <w:sz w:val="24"/>
                <w:szCs w:val="24"/>
              </w:rPr>
              <w:t>年决算较上年决算增+（减-）</w:t>
            </w:r>
          </w:p>
        </w:tc>
      </w:tr>
      <w:tr>
        <w:tblPrEx>
          <w:tblCellMar>
            <w:top w:w="0" w:type="dxa"/>
            <w:left w:w="108" w:type="dxa"/>
            <w:bottom w:w="0" w:type="dxa"/>
            <w:right w:w="108" w:type="dxa"/>
          </w:tblCellMar>
        </w:tblPrEx>
        <w:trPr>
          <w:trHeight w:val="458" w:hRule="atLeast"/>
          <w:jc w:val="center"/>
        </w:trPr>
        <w:tc>
          <w:tcPr>
            <w:tcW w:w="281"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p>
        </w:tc>
        <w:tc>
          <w:tcPr>
            <w:tcW w:w="85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p>
        </w:tc>
        <w:tc>
          <w:tcPr>
            <w:tcW w:w="548"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仿宋" w:cs="Times New Roman"/>
                <w:kern w:val="0"/>
                <w:sz w:val="24"/>
                <w:szCs w:val="24"/>
              </w:rPr>
            </w:pPr>
          </w:p>
        </w:tc>
        <w:tc>
          <w:tcPr>
            <w:tcW w:w="51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p>
        </w:tc>
        <w:tc>
          <w:tcPr>
            <w:tcW w:w="511"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p>
        </w:tc>
        <w:tc>
          <w:tcPr>
            <w:tcW w:w="588"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金额</w:t>
            </w:r>
          </w:p>
        </w:tc>
        <w:tc>
          <w:tcPr>
            <w:tcW w:w="593"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比例</w:t>
            </w:r>
          </w:p>
        </w:tc>
        <w:tc>
          <w:tcPr>
            <w:tcW w:w="57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金额</w:t>
            </w:r>
          </w:p>
        </w:tc>
        <w:tc>
          <w:tcPr>
            <w:tcW w:w="536"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比例</w:t>
            </w:r>
          </w:p>
        </w:tc>
      </w:tr>
      <w:tr>
        <w:tblPrEx>
          <w:tblCellMar>
            <w:top w:w="0" w:type="dxa"/>
            <w:left w:w="108" w:type="dxa"/>
            <w:bottom w:w="0" w:type="dxa"/>
            <w:right w:w="108" w:type="dxa"/>
          </w:tblCellMar>
        </w:tblPrEx>
        <w:trPr>
          <w:trHeight w:val="458" w:hRule="atLeast"/>
          <w:jc w:val="center"/>
        </w:trPr>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8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公务接待费</w:t>
            </w:r>
          </w:p>
        </w:tc>
        <w:tc>
          <w:tcPr>
            <w:tcW w:w="5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0.6427</w:t>
            </w:r>
          </w:p>
        </w:tc>
        <w:tc>
          <w:tcPr>
            <w:tcW w:w="5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1.50</w:t>
            </w:r>
          </w:p>
        </w:tc>
        <w:tc>
          <w:tcPr>
            <w:tcW w:w="5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0.68</w:t>
            </w:r>
          </w:p>
        </w:tc>
        <w:tc>
          <w:tcPr>
            <w:tcW w:w="5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-0.82</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54.67</w:t>
            </w:r>
          </w:p>
        </w:tc>
        <w:tc>
          <w:tcPr>
            <w:tcW w:w="5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0.0373</w:t>
            </w:r>
          </w:p>
        </w:tc>
        <w:tc>
          <w:tcPr>
            <w:tcW w:w="5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5.8</w:t>
            </w:r>
          </w:p>
        </w:tc>
      </w:tr>
      <w:tr>
        <w:tblPrEx>
          <w:tblCellMar>
            <w:top w:w="0" w:type="dxa"/>
            <w:left w:w="108" w:type="dxa"/>
            <w:bottom w:w="0" w:type="dxa"/>
            <w:right w:w="108" w:type="dxa"/>
          </w:tblCellMar>
        </w:tblPrEx>
        <w:trPr>
          <w:trHeight w:val="458" w:hRule="atLeast"/>
          <w:jc w:val="center"/>
        </w:trPr>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8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公务用车运行维护费</w:t>
            </w:r>
          </w:p>
        </w:tc>
        <w:tc>
          <w:tcPr>
            <w:tcW w:w="5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r>
      <w:tr>
        <w:tblPrEx>
          <w:tblCellMar>
            <w:top w:w="0" w:type="dxa"/>
            <w:left w:w="108" w:type="dxa"/>
            <w:bottom w:w="0" w:type="dxa"/>
            <w:right w:w="108" w:type="dxa"/>
          </w:tblCellMar>
        </w:tblPrEx>
        <w:trPr>
          <w:trHeight w:val="458" w:hRule="atLeast"/>
          <w:jc w:val="center"/>
        </w:trPr>
        <w:tc>
          <w:tcPr>
            <w:tcW w:w="2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8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无因公出国（境）支出</w:t>
            </w:r>
          </w:p>
        </w:tc>
        <w:tc>
          <w:tcPr>
            <w:tcW w:w="5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0</w:t>
            </w:r>
          </w:p>
        </w:tc>
      </w:tr>
    </w:tbl>
    <w:p>
      <w:pPr>
        <w:keepNext w:val="0"/>
        <w:keepLines w:val="0"/>
        <w:pageBreakBefore w:val="0"/>
        <w:kinsoku/>
        <w:wordWrap/>
        <w:overflowPunct/>
        <w:topLinePunct w:val="0"/>
        <w:autoSpaceDE/>
        <w:autoSpaceDN/>
        <w:bidi w:val="0"/>
        <w:adjustRightInd/>
        <w:spacing w:line="600" w:lineRule="exact"/>
        <w:ind w:firstLine="640" w:firstLineChars="200"/>
        <w:rPr>
          <w:rFonts w:eastAsia="楷体_GB2312"/>
          <w:sz w:val="32"/>
          <w:szCs w:val="32"/>
        </w:rPr>
      </w:pPr>
      <w:r>
        <w:rPr>
          <w:rFonts w:eastAsia="楷体_GB2312"/>
          <w:sz w:val="32"/>
          <w:szCs w:val="32"/>
        </w:rPr>
        <w:t>（二）项目支出情况</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 w:cs="Times New Roman"/>
          <w:sz w:val="32"/>
          <w:szCs w:val="32"/>
        </w:rPr>
        <w:t>1.</w:t>
      </w:r>
      <w:r>
        <w:rPr>
          <w:rFonts w:hint="eastAsia" w:ascii="仿宋_GB2312" w:hAnsi="仿宋_GB2312" w:eastAsia="仿宋_GB2312" w:cs="仿宋_GB2312"/>
          <w:sz w:val="32"/>
          <w:szCs w:val="32"/>
        </w:rPr>
        <w:t xml:space="preserve"> 项目支出预、决算情况</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项目支出年初预算</w:t>
      </w:r>
      <w:r>
        <w:rPr>
          <w:rFonts w:hint="eastAsia" w:ascii="仿宋_GB2312" w:hAnsi="仿宋_GB2312" w:eastAsia="仿宋_GB2312" w:cs="仿宋_GB2312"/>
          <w:sz w:val="32"/>
          <w:szCs w:val="32"/>
          <w:u w:val="single"/>
          <w:lang w:val="en-US" w:eastAsia="zh-CN"/>
        </w:rPr>
        <w:t xml:space="preserve"> 23</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万元，年内调整预算</w:t>
      </w:r>
      <w:r>
        <w:rPr>
          <w:rFonts w:hint="eastAsia" w:ascii="仿宋_GB2312" w:hAnsi="仿宋_GB2312" w:eastAsia="仿宋_GB2312" w:cs="仿宋_GB2312"/>
          <w:sz w:val="32"/>
          <w:szCs w:val="32"/>
          <w:u w:val="single"/>
          <w:lang w:val="en-US" w:eastAsia="zh-CN"/>
        </w:rPr>
        <w:t xml:space="preserve"> 0 </w:t>
      </w:r>
      <w:r>
        <w:rPr>
          <w:rFonts w:hint="eastAsia" w:ascii="仿宋_GB2312" w:hAnsi="仿宋_GB2312" w:eastAsia="仿宋_GB2312" w:cs="仿宋_GB2312"/>
          <w:sz w:val="32"/>
          <w:szCs w:val="32"/>
        </w:rPr>
        <w:t>万元，全年可执行预算合计</w:t>
      </w:r>
      <w:r>
        <w:rPr>
          <w:rFonts w:hint="eastAsia" w:ascii="仿宋_GB2312" w:hAnsi="仿宋_GB2312" w:eastAsia="仿宋_GB2312" w:cs="仿宋_GB2312"/>
          <w:sz w:val="32"/>
          <w:szCs w:val="32"/>
          <w:u w:val="single"/>
          <w:lang w:val="en-US" w:eastAsia="zh-CN"/>
        </w:rPr>
        <w:t xml:space="preserve"> 0 </w:t>
      </w:r>
      <w:r>
        <w:rPr>
          <w:rFonts w:hint="eastAsia" w:ascii="仿宋_GB2312" w:hAnsi="仿宋_GB2312" w:eastAsia="仿宋_GB2312" w:cs="仿宋_GB2312"/>
          <w:sz w:val="32"/>
          <w:szCs w:val="32"/>
        </w:rPr>
        <w:t>万元。</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rPr>
          <w:rFonts w:hint="eastAsia" w:ascii="楷体_GB2312" w:eastAsia="楷体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项目支出决算</w:t>
      </w:r>
      <w:r>
        <w:rPr>
          <w:rFonts w:hint="eastAsia" w:ascii="仿宋_GB2312" w:hAnsi="仿宋_GB2312" w:eastAsia="仿宋_GB2312" w:cs="仿宋_GB2312"/>
          <w:sz w:val="32"/>
          <w:szCs w:val="32"/>
          <w:u w:val="single"/>
          <w:lang w:val="en-US" w:eastAsia="zh-CN"/>
        </w:rPr>
        <w:t xml:space="preserve"> 0 </w:t>
      </w:r>
      <w:r>
        <w:rPr>
          <w:rFonts w:hint="eastAsia" w:ascii="仿宋_GB2312" w:hAnsi="仿宋_GB2312" w:eastAsia="仿宋_GB2312" w:cs="仿宋_GB2312"/>
          <w:sz w:val="32"/>
          <w:szCs w:val="32"/>
        </w:rPr>
        <w:t>万元，年末结转结余</w:t>
      </w:r>
      <w:r>
        <w:rPr>
          <w:rFonts w:hint="eastAsia" w:ascii="仿宋_GB2312" w:hAnsi="仿宋_GB2312" w:eastAsia="仿宋_GB2312" w:cs="仿宋_GB2312"/>
          <w:sz w:val="32"/>
          <w:szCs w:val="32"/>
          <w:u w:val="single"/>
          <w:lang w:val="en-US" w:eastAsia="zh-CN"/>
        </w:rPr>
        <w:t xml:space="preserve"> 0 </w:t>
      </w:r>
      <w:r>
        <w:rPr>
          <w:rFonts w:hint="eastAsia" w:ascii="仿宋_GB2312" w:hAnsi="仿宋_GB2312" w:eastAsia="仿宋_GB2312" w:cs="仿宋_GB2312"/>
          <w:sz w:val="32"/>
          <w:szCs w:val="32"/>
        </w:rPr>
        <w:t>万元。</w:t>
      </w:r>
    </w:p>
    <w:p>
      <w:pPr>
        <w:keepNext w:val="0"/>
        <w:keepLines w:val="0"/>
        <w:pageBreakBefore w:val="0"/>
        <w:widowControl/>
        <w:kinsoku/>
        <w:wordWrap/>
        <w:overflowPunct/>
        <w:topLinePunct w:val="0"/>
        <w:autoSpaceDE/>
        <w:autoSpaceDN/>
        <w:bidi w:val="0"/>
        <w:adjustRightInd/>
        <w:spacing w:line="600" w:lineRule="exact"/>
        <w:ind w:firstLine="640"/>
        <w:rPr>
          <w:rFonts w:ascii="Times New Roman" w:hAnsi="Times New Roman" w:eastAsia="黑体"/>
          <w:color w:val="222222"/>
          <w:kern w:val="0"/>
          <w:sz w:val="32"/>
          <w:szCs w:val="32"/>
        </w:rPr>
      </w:pPr>
      <w:r>
        <w:rPr>
          <w:rFonts w:ascii="Times New Roman" w:hAnsi="Times New Roman" w:eastAsia="黑体"/>
          <w:color w:val="222222"/>
          <w:kern w:val="0"/>
          <w:sz w:val="32"/>
          <w:szCs w:val="32"/>
        </w:rPr>
        <w:t>三、部门绩效目标</w:t>
      </w:r>
    </w:p>
    <w:p>
      <w:pPr>
        <w:keepNext w:val="0"/>
        <w:keepLines w:val="0"/>
        <w:pageBreakBefore w:val="0"/>
        <w:widowControl/>
        <w:kinsoku/>
        <w:wordWrap/>
        <w:overflowPunct/>
        <w:topLinePunct w:val="0"/>
        <w:autoSpaceDE/>
        <w:autoSpaceDN/>
        <w:bidi w:val="0"/>
        <w:adjustRightInd/>
        <w:spacing w:line="600" w:lineRule="exact"/>
        <w:ind w:firstLine="640"/>
        <w:rPr>
          <w:rFonts w:ascii="Times New Roman" w:hAnsi="Times New Roman" w:eastAsia="楷体_GB2312"/>
          <w:color w:val="222222"/>
          <w:kern w:val="0"/>
          <w:sz w:val="32"/>
          <w:szCs w:val="32"/>
        </w:rPr>
      </w:pPr>
      <w:r>
        <w:rPr>
          <w:rFonts w:ascii="Times New Roman" w:hAnsi="Times New Roman" w:eastAsia="楷体_GB2312"/>
          <w:color w:val="222222"/>
          <w:kern w:val="0"/>
          <w:sz w:val="32"/>
          <w:szCs w:val="32"/>
        </w:rPr>
        <w:t>（一）部门绩效总目标</w:t>
      </w:r>
    </w:p>
    <w:p>
      <w:pPr>
        <w:keepNext w:val="0"/>
        <w:keepLines w:val="0"/>
        <w:pageBreakBefore w:val="0"/>
        <w:widowControl/>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kern w:val="0"/>
          <w:sz w:val="32"/>
          <w:szCs w:val="32"/>
        </w:rPr>
        <w:t>服务全区经济社会发展，将机构编制资源配置向民生领域和经济发展需要的方面需要的方面倾斜；满足广大群众日益增长的公益服务需求，为全区经济社会发展提供体制机制保障。</w:t>
      </w:r>
    </w:p>
    <w:p>
      <w:pPr>
        <w:keepNext w:val="0"/>
        <w:keepLines w:val="0"/>
        <w:pageBreakBefore w:val="0"/>
        <w:widowControl/>
        <w:kinsoku/>
        <w:wordWrap/>
        <w:overflowPunct/>
        <w:topLinePunct w:val="0"/>
        <w:autoSpaceDE/>
        <w:autoSpaceDN/>
        <w:bidi w:val="0"/>
        <w:adjustRightInd/>
        <w:spacing w:line="600" w:lineRule="exact"/>
        <w:ind w:firstLine="640"/>
        <w:rPr>
          <w:rFonts w:ascii="Times New Roman" w:hAnsi="Times New Roman" w:eastAsia="楷体_GB2312"/>
          <w:color w:val="222222"/>
          <w:kern w:val="0"/>
          <w:sz w:val="32"/>
          <w:szCs w:val="32"/>
        </w:rPr>
      </w:pPr>
      <w:r>
        <w:rPr>
          <w:rFonts w:ascii="Times New Roman" w:hAnsi="Times New Roman" w:eastAsia="楷体_GB2312"/>
          <w:color w:val="222222"/>
          <w:kern w:val="0"/>
          <w:sz w:val="32"/>
          <w:szCs w:val="32"/>
        </w:rPr>
        <w:t>（二）</w:t>
      </w:r>
      <w:r>
        <w:rPr>
          <w:rFonts w:hint="eastAsia" w:ascii="Times New Roman" w:hAnsi="Times New Roman" w:eastAsia="楷体_GB2312"/>
          <w:color w:val="222222"/>
          <w:kern w:val="0"/>
          <w:sz w:val="32"/>
          <w:szCs w:val="32"/>
          <w:lang w:val="en-US" w:eastAsia="zh-CN"/>
        </w:rPr>
        <w:t>2021</w:t>
      </w:r>
      <w:r>
        <w:rPr>
          <w:rFonts w:hint="eastAsia" w:ascii="Times New Roman" w:hAnsi="Times New Roman" w:eastAsia="楷体_GB2312"/>
          <w:color w:val="222222"/>
          <w:kern w:val="0"/>
          <w:sz w:val="32"/>
          <w:szCs w:val="32"/>
        </w:rPr>
        <w:t>年度</w:t>
      </w:r>
      <w:r>
        <w:rPr>
          <w:rFonts w:ascii="Times New Roman" w:hAnsi="Times New Roman" w:eastAsia="楷体_GB2312"/>
          <w:color w:val="222222"/>
          <w:kern w:val="0"/>
          <w:sz w:val="32"/>
          <w:szCs w:val="32"/>
        </w:rPr>
        <w:t>部门绩效目标</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做好实名制系统信息的修改完善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全年共完成</w:t>
      </w:r>
      <w:r>
        <w:rPr>
          <w:rFonts w:hint="eastAsia" w:ascii="仿宋_GB2312" w:hAnsi="仿宋_GB2312" w:eastAsia="仿宋_GB2312" w:cs="仿宋_GB2312"/>
          <w:kern w:val="0"/>
          <w:sz w:val="32"/>
          <w:szCs w:val="32"/>
          <w:lang w:val="en-US" w:eastAsia="zh-CN"/>
        </w:rPr>
        <w:t>3122条信息的修改完善。</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配合部门做好</w:t>
      </w:r>
      <w:r>
        <w:rPr>
          <w:rFonts w:hint="eastAsia" w:ascii="仿宋_GB2312" w:hAnsi="仿宋_GB2312" w:eastAsia="仿宋_GB2312" w:cs="仿宋_GB2312"/>
          <w:kern w:val="0"/>
          <w:sz w:val="32"/>
          <w:szCs w:val="32"/>
          <w:lang w:eastAsia="zh-CN"/>
        </w:rPr>
        <w:t>人员异动调整。全年共完成</w:t>
      </w:r>
      <w:r>
        <w:rPr>
          <w:rFonts w:hint="eastAsia" w:ascii="仿宋_GB2312" w:hAnsi="仿宋_GB2312" w:eastAsia="仿宋_GB2312" w:cs="仿宋_GB2312"/>
          <w:kern w:val="0"/>
          <w:sz w:val="32"/>
          <w:szCs w:val="32"/>
          <w:lang w:val="en-US" w:eastAsia="zh-CN"/>
        </w:rPr>
        <w:t>2832条异动信息调整。</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做好机构编制</w:t>
      </w:r>
      <w:r>
        <w:rPr>
          <w:rFonts w:hint="eastAsia" w:ascii="仿宋_GB2312" w:hAnsi="仿宋_GB2312" w:eastAsia="仿宋_GB2312" w:cs="仿宋_GB2312"/>
          <w:kern w:val="0"/>
          <w:sz w:val="32"/>
          <w:szCs w:val="32"/>
          <w:lang w:eastAsia="zh-CN"/>
        </w:rPr>
        <w:t>核查</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lang w:eastAsia="zh-CN"/>
        </w:rPr>
        <w:t>。全年共完成</w:t>
      </w:r>
      <w:r>
        <w:rPr>
          <w:rFonts w:hint="eastAsia" w:ascii="仿宋_GB2312" w:hAnsi="仿宋_GB2312" w:eastAsia="仿宋_GB2312" w:cs="仿宋_GB2312"/>
          <w:kern w:val="0"/>
          <w:sz w:val="32"/>
          <w:szCs w:val="32"/>
          <w:lang w:val="en-US" w:eastAsia="zh-CN"/>
        </w:rPr>
        <w:t>416家单位机构编制核查。</w:t>
      </w:r>
    </w:p>
    <w:p>
      <w:pPr>
        <w:pStyle w:val="2"/>
        <w:keepNext w:val="0"/>
        <w:keepLines w:val="0"/>
        <w:pageBreakBefore w:val="0"/>
        <w:numPr>
          <w:ilvl w:val="0"/>
          <w:numId w:val="0"/>
        </w:numPr>
        <w:kinsoku/>
        <w:wordWrap/>
        <w:topLinePunct w:val="0"/>
        <w:autoSpaceDE/>
        <w:autoSpaceDN/>
        <w:bidi w:val="0"/>
        <w:adjustRightInd/>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开展</w:t>
      </w:r>
      <w:r>
        <w:rPr>
          <w:rFonts w:hint="eastAsia" w:ascii="仿宋_GB2312" w:hAnsi="仿宋_GB2312" w:eastAsia="仿宋_GB2312" w:cs="仿宋_GB2312"/>
          <w:kern w:val="0"/>
          <w:sz w:val="32"/>
          <w:szCs w:val="32"/>
          <w:lang w:eastAsia="zh-CN"/>
        </w:rPr>
        <w:t>党史学习教育</w:t>
      </w:r>
      <w:r>
        <w:rPr>
          <w:rFonts w:hint="eastAsia" w:ascii="仿宋_GB2312" w:hAnsi="仿宋_GB2312" w:eastAsia="仿宋_GB2312" w:cs="仿宋_GB2312"/>
          <w:kern w:val="0"/>
          <w:sz w:val="32"/>
          <w:szCs w:val="32"/>
          <w:lang w:val="en-US" w:eastAsia="zh-CN"/>
        </w:rPr>
        <w:t>8次，</w:t>
      </w:r>
      <w:r>
        <w:rPr>
          <w:rFonts w:hint="eastAsia" w:ascii="仿宋_GB2312" w:hAnsi="仿宋_GB2312" w:eastAsia="仿宋_GB2312" w:cs="仿宋_GB2312"/>
          <w:kern w:val="0"/>
          <w:sz w:val="32"/>
          <w:szCs w:val="32"/>
        </w:rPr>
        <w:t>联系新河社区和金狮堤社区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慰问帮扶为民办实事活动</w:t>
      </w:r>
      <w:r>
        <w:rPr>
          <w:rFonts w:hint="eastAsia" w:ascii="仿宋_GB2312" w:hAnsi="仿宋_GB2312" w:eastAsia="仿宋_GB2312" w:cs="仿宋_GB2312"/>
          <w:kern w:val="0"/>
          <w:sz w:val="32"/>
          <w:szCs w:val="32"/>
          <w:lang w:val="en-US" w:eastAsia="zh-CN"/>
        </w:rPr>
        <w:t>16次</w:t>
      </w:r>
      <w:r>
        <w:rPr>
          <w:rFonts w:hint="eastAsia" w:ascii="仿宋_GB2312" w:hAnsi="仿宋_GB2312" w:eastAsia="仿宋_GB2312" w:cs="仿宋_GB2312"/>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5.全力参与疫情防控工作。全年共派出干部参与疫情防控值守达104人次，坚守疫情一线26天。</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6.落实省委巡视问题整改销号工作。全年共完成销号任务35项。</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推进事业单位登记管理工作。</w:t>
      </w:r>
      <w:r>
        <w:rPr>
          <w:rFonts w:hint="eastAsia" w:ascii="仿宋_GB2312" w:hAnsi="仿宋_GB2312" w:eastAsia="仿宋_GB2312" w:cs="仿宋_GB2312"/>
          <w:kern w:val="0"/>
          <w:sz w:val="32"/>
          <w:szCs w:val="32"/>
          <w:lang w:eastAsia="zh-CN"/>
        </w:rPr>
        <w:t>全年共完成</w:t>
      </w:r>
      <w:r>
        <w:rPr>
          <w:rFonts w:hint="eastAsia" w:ascii="仿宋_GB2312" w:hAnsi="仿宋_GB2312" w:eastAsia="仿宋_GB2312" w:cs="仿宋_GB2312"/>
          <w:kern w:val="0"/>
          <w:sz w:val="32"/>
          <w:szCs w:val="32"/>
          <w:lang w:val="en-US" w:eastAsia="zh-CN"/>
        </w:rPr>
        <w:t>238家事业单位登记管理。</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做好中文域名续费工作</w:t>
      </w:r>
      <w:r>
        <w:rPr>
          <w:rFonts w:hint="eastAsia" w:ascii="仿宋_GB2312" w:hAnsi="仿宋_GB2312" w:eastAsia="仿宋_GB2312" w:cs="仿宋_GB2312"/>
          <w:kern w:val="0"/>
          <w:sz w:val="32"/>
          <w:szCs w:val="32"/>
          <w:lang w:eastAsia="zh-CN"/>
        </w:rPr>
        <w:t>。全年共</w:t>
      </w:r>
      <w:bookmarkStart w:id="0" w:name="_GoBack"/>
      <w:bookmarkEnd w:id="0"/>
      <w:r>
        <w:rPr>
          <w:rFonts w:hint="eastAsia" w:ascii="仿宋_GB2312" w:hAnsi="仿宋_GB2312" w:eastAsia="仿宋_GB2312" w:cs="仿宋_GB2312"/>
          <w:kern w:val="0"/>
          <w:sz w:val="32"/>
          <w:szCs w:val="32"/>
          <w:lang w:eastAsia="zh-CN"/>
        </w:rPr>
        <w:t>完成</w:t>
      </w:r>
      <w:r>
        <w:rPr>
          <w:rFonts w:hint="eastAsia" w:ascii="仿宋_GB2312" w:hAnsi="仿宋_GB2312" w:eastAsia="仿宋_GB2312" w:cs="仿宋_GB2312"/>
          <w:kern w:val="0"/>
          <w:sz w:val="32"/>
          <w:szCs w:val="32"/>
          <w:lang w:val="en-US" w:eastAsia="zh-CN"/>
        </w:rPr>
        <w:t>298家单位中文域名续费。</w:t>
      </w:r>
    </w:p>
    <w:p>
      <w:pPr>
        <w:keepNext w:val="0"/>
        <w:keepLines w:val="0"/>
        <w:pageBreakBefore w:val="0"/>
        <w:widowControl/>
        <w:numPr>
          <w:ilvl w:val="0"/>
          <w:numId w:val="2"/>
        </w:numPr>
        <w:kinsoku/>
        <w:wordWrap/>
        <w:overflowPunct/>
        <w:topLinePunct w:val="0"/>
        <w:autoSpaceDE/>
        <w:autoSpaceDN/>
        <w:bidi w:val="0"/>
        <w:adjustRightInd/>
        <w:spacing w:line="600" w:lineRule="exact"/>
        <w:ind w:firstLine="640"/>
        <w:rPr>
          <w:rFonts w:ascii="Times New Roman" w:hAnsi="Times New Roman" w:eastAsia="黑体"/>
          <w:color w:val="222222"/>
          <w:kern w:val="0"/>
          <w:sz w:val="32"/>
          <w:szCs w:val="32"/>
        </w:rPr>
      </w:pPr>
      <w:r>
        <w:rPr>
          <w:rFonts w:ascii="Times New Roman" w:hAnsi="Times New Roman" w:eastAsia="黑体"/>
          <w:color w:val="222222"/>
          <w:kern w:val="0"/>
          <w:sz w:val="32"/>
          <w:szCs w:val="32"/>
        </w:rPr>
        <w:t>绩效评价工作情况</w:t>
      </w:r>
    </w:p>
    <w:p>
      <w:pPr>
        <w:keepNext w:val="0"/>
        <w:keepLines w:val="0"/>
        <w:pageBreakBefore w:val="0"/>
        <w:widowControl/>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根据《湖南省人民政府关于全面推进绩效管理的意见》和《常德市人民政府办公室关于进一步加强预算绩效管理的通知》，我办成立了主任为组长，分管领导为副组长的预算绩效管理工作领导小组，负责预算绩效管理工作的组织领导和具体实施。我办为使干部牢固树立了财政绩效管理理念多次召开干部专题会议，学习研讨有关财政预算绩效管理的制度、文件，对相关业务知识进行学习，对可能出现的问题进行深入研讨，收到了较好的效果。</w:t>
      </w:r>
    </w:p>
    <w:p>
      <w:pPr>
        <w:keepNext w:val="0"/>
        <w:keepLines w:val="0"/>
        <w:pageBreakBefore w:val="0"/>
        <w:widowControl/>
        <w:kinsoku/>
        <w:wordWrap/>
        <w:overflowPunct/>
        <w:topLinePunct w:val="0"/>
        <w:autoSpaceDE/>
        <w:autoSpaceDN/>
        <w:bidi w:val="0"/>
        <w:adjustRightInd/>
        <w:spacing w:line="600" w:lineRule="exact"/>
        <w:ind w:firstLine="800" w:firstLineChars="25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领导小组采取座谈等方式听取情况，检查基本支出、项目支出有关账目，收集整理支出相关资料，并根据各股室报送的绩效自评材料进行分析，开展编办整体支出绩效自评。</w:t>
      </w:r>
    </w:p>
    <w:p>
      <w:pPr>
        <w:keepNext w:val="0"/>
        <w:keepLines w:val="0"/>
        <w:pageBreakBefore w:val="0"/>
        <w:widowControl/>
        <w:numPr>
          <w:ilvl w:val="0"/>
          <w:numId w:val="2"/>
        </w:numPr>
        <w:kinsoku/>
        <w:wordWrap/>
        <w:overflowPunct/>
        <w:topLinePunct w:val="0"/>
        <w:autoSpaceDE/>
        <w:autoSpaceDN/>
        <w:bidi w:val="0"/>
        <w:adjustRightInd/>
        <w:spacing w:line="600" w:lineRule="exact"/>
        <w:ind w:left="0" w:leftChars="0" w:firstLine="640" w:firstLineChars="0"/>
        <w:rPr>
          <w:rFonts w:ascii="Times New Roman" w:hAnsi="Times New Roman" w:eastAsia="黑体"/>
          <w:color w:val="000000"/>
          <w:sz w:val="32"/>
          <w:szCs w:val="32"/>
        </w:rPr>
      </w:pPr>
      <w:r>
        <w:rPr>
          <w:rFonts w:ascii="Times New Roman" w:hAnsi="Times New Roman" w:eastAsia="黑体"/>
          <w:color w:val="000000"/>
          <w:sz w:val="32"/>
          <w:szCs w:val="32"/>
        </w:rPr>
        <w:t>综合评价结果</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考核评分细则，从整体上看，我办资金运行维护决策正确，资金管理规范，项目管理到位，政策执行有力，有效发挥了财政资金的使用效率，确保了各项改革顺利进行，机构编制资源管理运用科学规范，为优化全区经济社会发展提供了有力保障。自评得分</w:t>
      </w:r>
      <w:r>
        <w:rPr>
          <w:rFonts w:hint="eastAsia" w:ascii="仿宋" w:hAnsi="仿宋" w:eastAsia="仿宋" w:cs="仿宋"/>
          <w:sz w:val="32"/>
          <w:szCs w:val="32"/>
          <w:lang w:val="en-US" w:eastAsia="zh-CN"/>
        </w:rPr>
        <w:t>99</w:t>
      </w:r>
      <w:r>
        <w:rPr>
          <w:rFonts w:hint="eastAsia" w:ascii="仿宋" w:hAnsi="仿宋" w:eastAsia="仿宋" w:cs="仿宋"/>
          <w:sz w:val="32"/>
          <w:szCs w:val="32"/>
        </w:rPr>
        <w:t>分，评价结果为“优”。</w:t>
      </w:r>
      <w:r>
        <w:rPr>
          <w:rFonts w:hint="eastAsia" w:ascii="仿宋" w:hAnsi="仿宋" w:eastAsia="仿宋" w:cs="仿宋"/>
          <w:sz w:val="32"/>
          <w:szCs w:val="32"/>
          <w:lang w:eastAsia="zh-CN"/>
        </w:rPr>
        <w:t>得（扣）分明细：</w:t>
      </w:r>
    </w:p>
    <w:p>
      <w:pPr>
        <w:pStyle w:val="2"/>
        <w:keepNext w:val="0"/>
        <w:keepLines w:val="0"/>
        <w:pageBreakBefore w:val="0"/>
        <w:numPr>
          <w:ilvl w:val="0"/>
          <w:numId w:val="0"/>
        </w:numPr>
        <w:kinsoku/>
        <w:wordWrap/>
        <w:topLinePunct w:val="0"/>
        <w:autoSpaceDE/>
        <w:autoSpaceDN/>
        <w:bidi w:val="0"/>
        <w:adjustRightInd/>
        <w:spacing w:line="6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1.投入总分15分，实得14分，扣1分。扣分明细：“三公</w:t>
      </w:r>
    </w:p>
    <w:p>
      <w:pPr>
        <w:pStyle w:val="2"/>
        <w:keepNext w:val="0"/>
        <w:keepLines w:val="0"/>
        <w:pageBreakBefore w:val="0"/>
        <w:numPr>
          <w:ilvl w:val="0"/>
          <w:numId w:val="0"/>
        </w:numPr>
        <w:kinsoku/>
        <w:wordWrap/>
        <w:topLinePunct w:val="0"/>
        <w:autoSpaceDE/>
        <w:autoSpaceDN/>
        <w:bidi w:val="0"/>
        <w:adjustRightIn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经费”变动率为25%，扣1分。</w:t>
      </w:r>
    </w:p>
    <w:p>
      <w:pPr>
        <w:pStyle w:val="2"/>
        <w:keepNext w:val="0"/>
        <w:keepLines w:val="0"/>
        <w:pageBreakBefore w:val="0"/>
        <w:numPr>
          <w:ilvl w:val="0"/>
          <w:numId w:val="0"/>
        </w:numPr>
        <w:kinsoku/>
        <w:wordWrap/>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2.过程总分25分，实得25分。</w:t>
      </w:r>
    </w:p>
    <w:p>
      <w:pPr>
        <w:pStyle w:val="2"/>
        <w:keepNext w:val="0"/>
        <w:keepLines w:val="0"/>
        <w:pageBreakBefore w:val="0"/>
        <w:numPr>
          <w:ilvl w:val="0"/>
          <w:numId w:val="0"/>
        </w:numPr>
        <w:kinsoku/>
        <w:wordWrap/>
        <w:topLinePunct w:val="0"/>
        <w:autoSpaceDE/>
        <w:autoSpaceDN/>
        <w:bidi w:val="0"/>
        <w:adjustRightIn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3.产出总分30分，实得30分。</w:t>
      </w:r>
    </w:p>
    <w:p>
      <w:pPr>
        <w:pStyle w:val="2"/>
        <w:keepNext w:val="0"/>
        <w:keepLines w:val="0"/>
        <w:pageBreakBefore w:val="0"/>
        <w:numPr>
          <w:ilvl w:val="0"/>
          <w:numId w:val="0"/>
        </w:numPr>
        <w:kinsoku/>
        <w:wordWrap/>
        <w:topLinePunct w:val="0"/>
        <w:autoSpaceDE/>
        <w:autoSpaceDN/>
        <w:bidi w:val="0"/>
        <w:adjustRightIn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4.效果总分30分，实得30分。</w:t>
      </w:r>
    </w:p>
    <w:p>
      <w:pPr>
        <w:keepNext w:val="0"/>
        <w:keepLines w:val="0"/>
        <w:pageBreakBefore w:val="0"/>
        <w:widowControl/>
        <w:numPr>
          <w:ilvl w:val="0"/>
          <w:numId w:val="2"/>
        </w:numPr>
        <w:kinsoku/>
        <w:wordWrap/>
        <w:overflowPunct/>
        <w:topLinePunct w:val="0"/>
        <w:autoSpaceDE/>
        <w:autoSpaceDN/>
        <w:bidi w:val="0"/>
        <w:adjustRightInd/>
        <w:spacing w:line="600" w:lineRule="exact"/>
        <w:ind w:left="0" w:leftChars="0" w:firstLine="640" w:firstLineChars="0"/>
        <w:textAlignment w:val="auto"/>
        <w:rPr>
          <w:rFonts w:hint="eastAsia" w:ascii="Times New Roman" w:hAnsi="Times New Roman" w:eastAsia="黑体"/>
          <w:color w:val="222222"/>
          <w:kern w:val="0"/>
          <w:sz w:val="32"/>
          <w:szCs w:val="32"/>
        </w:rPr>
      </w:pPr>
      <w:r>
        <w:rPr>
          <w:rFonts w:ascii="Times New Roman" w:hAnsi="Times New Roman" w:eastAsia="黑体"/>
          <w:color w:val="222222"/>
          <w:kern w:val="0"/>
          <w:sz w:val="32"/>
          <w:szCs w:val="32"/>
        </w:rPr>
        <w:t>部门</w:t>
      </w:r>
      <w:r>
        <w:rPr>
          <w:rFonts w:hint="eastAsia" w:ascii="Times New Roman" w:hAnsi="Times New Roman" w:eastAsia="黑体"/>
          <w:color w:val="222222"/>
          <w:kern w:val="0"/>
          <w:sz w:val="32"/>
          <w:szCs w:val="32"/>
        </w:rPr>
        <w:t>整体支出</w:t>
      </w:r>
      <w:r>
        <w:rPr>
          <w:rFonts w:ascii="Times New Roman" w:hAnsi="Times New Roman" w:eastAsia="黑体"/>
          <w:color w:val="222222"/>
          <w:kern w:val="0"/>
          <w:sz w:val="32"/>
          <w:szCs w:val="32"/>
        </w:rPr>
        <w:t>绩效</w:t>
      </w:r>
      <w:r>
        <w:rPr>
          <w:rFonts w:hint="eastAsia" w:ascii="Times New Roman" w:hAnsi="Times New Roman" w:eastAsia="黑体"/>
          <w:color w:val="222222"/>
          <w:kern w:val="0"/>
          <w:sz w:val="32"/>
          <w:szCs w:val="32"/>
        </w:rPr>
        <w:t>情况</w:t>
      </w:r>
    </w:p>
    <w:p>
      <w:pPr>
        <w:keepNext w:val="0"/>
        <w:keepLines w:val="0"/>
        <w:pageBreakBefore w:val="0"/>
        <w:widowControl w:val="0"/>
        <w:kinsoku/>
        <w:wordWrap/>
        <w:overflowPunct w:val="0"/>
        <w:topLinePunct w:val="0"/>
        <w:autoSpaceDE/>
        <w:autoSpaceDN/>
        <w:bidi w:val="0"/>
        <w:adjustRightInd/>
        <w:spacing w:line="600" w:lineRule="exact"/>
        <w:ind w:firstLine="640"/>
        <w:jc w:val="left"/>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紧扣全区中心工作，全面加强业务建设，不断提升依法行政能力和提升服务水平，推动区委、区政府决策部署落地落实。</w:t>
      </w:r>
      <w:r>
        <w:rPr>
          <w:rFonts w:hint="eastAsia" w:ascii="Times New Roman" w:hAnsi="Times New Roman" w:eastAsia="仿宋_GB2312" w:cs="Times New Roman"/>
          <w:color w:val="000000"/>
          <w:kern w:val="0"/>
          <w:sz w:val="32"/>
          <w:szCs w:val="32"/>
          <w:lang w:val="en-US" w:eastAsia="zh-CN"/>
        </w:rPr>
        <w:t>2021</w:t>
      </w:r>
      <w:r>
        <w:rPr>
          <w:rFonts w:hint="eastAsia" w:ascii="Times New Roman" w:hAnsi="Times New Roman" w:eastAsia="仿宋_GB2312" w:cs="Times New Roman"/>
          <w:color w:val="000000"/>
          <w:kern w:val="0"/>
          <w:sz w:val="32"/>
          <w:szCs w:val="32"/>
          <w:lang w:eastAsia="zh-CN"/>
        </w:rPr>
        <w:t>年武陵区委编办荣获常德市委、市政府平安创建单位，武陵区机构编制工作纳入区委选人用人机构编制专项巡察。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sz w:val="32"/>
          <w:szCs w:val="32"/>
          <w:lang w:val="en-US" w:eastAsia="zh-CN"/>
        </w:rPr>
        <w:t>1.聚焦重点民生领域，在统筹优化配置机构编制资源方面持续发力。</w:t>
      </w:r>
      <w:r>
        <w:rPr>
          <w:rFonts w:hint="eastAsia" w:ascii="仿宋_GB2312" w:hAnsi="仿宋_GB2312" w:eastAsia="仿宋_GB2312" w:cs="仿宋_GB2312"/>
          <w:b/>
          <w:bCs/>
          <w:sz w:val="32"/>
          <w:szCs w:val="32"/>
          <w:lang w:val="en-US" w:eastAsia="zh-CN"/>
        </w:rPr>
        <w:t>一是统筹好编制资源。</w:t>
      </w:r>
      <w:r>
        <w:rPr>
          <w:rFonts w:hint="eastAsia" w:ascii="仿宋_GB2312" w:hAnsi="仿宋_GB2312" w:eastAsia="仿宋_GB2312" w:cs="仿宋_GB2312"/>
          <w:b w:val="0"/>
          <w:bCs w:val="0"/>
          <w:sz w:val="32"/>
          <w:szCs w:val="32"/>
          <w:lang w:val="en-US" w:eastAsia="zh-CN"/>
        </w:rPr>
        <w:t>通过多种渠道调剂编制，建好两个编制周转池，实行“全区统筹、保障急需、用后退还、动态调整”管理办法。今年，在原有建立事业编制周转池的基础上，又调剂了区市场监管局、区工信局等部分行政编制，建立了行政编制周转池。虽然量不大，但可以解决部分编制工作难题。</w:t>
      </w:r>
      <w:r>
        <w:rPr>
          <w:rFonts w:hint="eastAsia" w:ascii="仿宋_GB2312" w:hAnsi="仿宋_GB2312" w:eastAsia="仿宋_GB2312" w:cs="仿宋_GB2312"/>
          <w:b/>
          <w:bCs/>
          <w:sz w:val="32"/>
          <w:szCs w:val="32"/>
          <w:lang w:val="en-US" w:eastAsia="zh-CN"/>
        </w:rPr>
        <w:t>二是服务好民生发展。</w:t>
      </w:r>
      <w:r>
        <w:rPr>
          <w:rFonts w:hint="eastAsia" w:ascii="仿宋_GB2312" w:hAnsi="仿宋_GB2312" w:eastAsia="仿宋_GB2312" w:cs="仿宋_GB2312"/>
          <w:b w:val="0"/>
          <w:bCs w:val="0"/>
          <w:sz w:val="32"/>
          <w:szCs w:val="32"/>
          <w:lang w:val="en-US" w:eastAsia="zh-CN"/>
        </w:rPr>
        <w:t>为进一步推动文明实践工作，</w:t>
      </w:r>
      <w:r>
        <w:rPr>
          <w:rFonts w:hint="eastAsia" w:ascii="仿宋_GB2312" w:hAnsi="仿宋_GB2312" w:eastAsia="仿宋_GB2312" w:cs="仿宋_GB2312"/>
          <w:sz w:val="32"/>
          <w:szCs w:val="32"/>
        </w:rPr>
        <w:t>成立了新时代文明实践服务中心</w:t>
      </w:r>
      <w:r>
        <w:rPr>
          <w:rFonts w:hint="eastAsia" w:ascii="仿宋_GB2312" w:hAnsi="仿宋_GB2312" w:eastAsia="仿宋_GB2312" w:cs="仿宋_GB2312"/>
          <w:sz w:val="32"/>
          <w:szCs w:val="32"/>
          <w:lang w:eastAsia="zh-CN"/>
        </w:rPr>
        <w:t>并做好机构升格。</w:t>
      </w:r>
      <w:r>
        <w:rPr>
          <w:rFonts w:hint="eastAsia" w:ascii="仿宋_GB2312" w:hAnsi="仿宋_GB2312" w:eastAsia="仿宋_GB2312" w:cs="仿宋_GB2312"/>
          <w:b w:val="0"/>
          <w:bCs w:val="0"/>
          <w:sz w:val="32"/>
          <w:szCs w:val="32"/>
          <w:lang w:val="en-US" w:eastAsia="zh-CN"/>
        </w:rPr>
        <w:t>动态规范中小学编制管理。</w:t>
      </w:r>
      <w:r>
        <w:rPr>
          <w:rFonts w:hint="eastAsia" w:ascii="仿宋_GB2312" w:hAnsi="仿宋_GB2312" w:eastAsia="仿宋_GB2312" w:cs="仿宋_GB2312"/>
          <w:sz w:val="32"/>
          <w:szCs w:val="32"/>
          <w:lang w:eastAsia="zh-CN"/>
        </w:rPr>
        <w:t>考虑</w:t>
      </w:r>
      <w:r>
        <w:rPr>
          <w:rFonts w:hint="eastAsia" w:ascii="仿宋_GB2312" w:hAnsi="仿宋_GB2312" w:eastAsia="仿宋_GB2312" w:cs="仿宋_GB2312"/>
          <w:sz w:val="32"/>
          <w:szCs w:val="32"/>
        </w:rPr>
        <w:t>学生数量增长迅速，为增强师资力量，武陵区委编办去年为区教育局所属中小学调剂了部分周转编制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在此基础上，今年又为区教育局机关及其下属事业单位增加部分行政事业编制，充实教育系统管理力量，提升管理水平。</w:t>
      </w:r>
      <w:r>
        <w:rPr>
          <w:rFonts w:hint="eastAsia" w:ascii="Times New Roman" w:hAnsi="Times New Roman" w:eastAsia="仿宋_GB2312" w:cs="Times New Roman"/>
          <w:b/>
          <w:bCs/>
          <w:kern w:val="0"/>
          <w:sz w:val="32"/>
          <w:szCs w:val="32"/>
          <w:lang w:val="en-US" w:eastAsia="zh-CN" w:bidi="ar-SA"/>
        </w:rPr>
        <w:t>三</w:t>
      </w:r>
      <w:r>
        <w:rPr>
          <w:rFonts w:hint="default" w:ascii="Times New Roman" w:hAnsi="Times New Roman" w:eastAsia="仿宋_GB2312" w:cs="Times New Roman"/>
          <w:b/>
          <w:bCs/>
          <w:kern w:val="0"/>
          <w:sz w:val="32"/>
          <w:szCs w:val="32"/>
          <w:lang w:val="en-US" w:eastAsia="zh-CN" w:bidi="ar-SA"/>
        </w:rPr>
        <w:t>是</w:t>
      </w:r>
      <w:r>
        <w:rPr>
          <w:rFonts w:hint="eastAsia" w:ascii="Times New Roman" w:hAnsi="Times New Roman" w:eastAsia="仿宋_GB2312" w:cs="Times New Roman"/>
          <w:b/>
          <w:bCs/>
          <w:kern w:val="0"/>
          <w:sz w:val="32"/>
          <w:szCs w:val="32"/>
          <w:lang w:val="en-US" w:eastAsia="zh-CN" w:bidi="ar-SA"/>
        </w:rPr>
        <w:t>开展好机构编制核查。</w:t>
      </w:r>
      <w:r>
        <w:rPr>
          <w:rFonts w:hint="eastAsia" w:ascii="Times New Roman" w:hAnsi="Times New Roman" w:eastAsia="仿宋_GB2312" w:cs="Times New Roman"/>
          <w:b w:val="0"/>
          <w:bCs w:val="0"/>
          <w:kern w:val="0"/>
          <w:sz w:val="32"/>
          <w:szCs w:val="32"/>
          <w:lang w:val="en-US" w:eastAsia="zh-CN" w:bidi="ar-SA"/>
        </w:rPr>
        <w:t>按照中央、省、市机构编制核查要求，武陵区委编办第一时间谋划部署，通过单位自查和实地核查的方式</w:t>
      </w:r>
      <w:r>
        <w:rPr>
          <w:rFonts w:hint="eastAsia" w:ascii="Times New Roman" w:hAnsi="Times New Roman" w:eastAsia="仿宋_GB2312" w:cs="Times New Roman"/>
          <w:b/>
          <w:bCs/>
          <w:kern w:val="0"/>
          <w:sz w:val="32"/>
          <w:szCs w:val="32"/>
          <w:lang w:val="en-US" w:eastAsia="zh-CN" w:bidi="ar-SA"/>
        </w:rPr>
        <w:t>，</w:t>
      </w:r>
      <w:r>
        <w:rPr>
          <w:rFonts w:hint="eastAsia" w:ascii="仿宋_GB2312" w:hAnsi="楷体" w:eastAsia="仿宋_GB2312"/>
          <w:sz w:val="32"/>
          <w:szCs w:val="32"/>
        </w:rPr>
        <w:t>进一步分析数据、查找原因、消除差异，切实做到核实全面，数据准确。</w:t>
      </w:r>
      <w:r>
        <w:rPr>
          <w:rFonts w:hint="eastAsia" w:ascii="Times New Roman" w:hAnsi="Times New Roman" w:eastAsia="仿宋_GB2312" w:cs="Times New Roman"/>
          <w:kern w:val="0"/>
          <w:sz w:val="32"/>
          <w:szCs w:val="32"/>
          <w:lang w:val="en-US" w:eastAsia="zh-CN" w:bidi="ar-SA"/>
        </w:rPr>
        <w:t>同时进一步完善</w:t>
      </w:r>
      <w:r>
        <w:rPr>
          <w:rFonts w:hint="default" w:ascii="Times New Roman" w:hAnsi="Times New Roman" w:eastAsia="仿宋_GB2312" w:cs="Times New Roman"/>
          <w:kern w:val="0"/>
          <w:sz w:val="32"/>
          <w:szCs w:val="32"/>
          <w:lang w:val="en-US" w:eastAsia="zh-CN" w:bidi="ar-SA"/>
        </w:rPr>
        <w:t>实名制数据，及时掌握了解全区人员实时变动情况，精准掌握人员退休、辞职、调出等数据，做到机构清、职数清、编制清、人员清</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为</w:t>
      </w:r>
      <w:r>
        <w:rPr>
          <w:rFonts w:hint="eastAsia" w:ascii="Times New Roman" w:hAnsi="Times New Roman" w:eastAsia="仿宋_GB2312" w:cs="Times New Roman"/>
          <w:kern w:val="0"/>
          <w:sz w:val="32"/>
          <w:szCs w:val="32"/>
          <w:lang w:val="en-US" w:eastAsia="zh-CN" w:bidi="ar-SA"/>
        </w:rPr>
        <w:t>组织选人用人，</w:t>
      </w:r>
      <w:r>
        <w:rPr>
          <w:rFonts w:hint="default" w:ascii="Times New Roman" w:hAnsi="Times New Roman" w:eastAsia="仿宋_GB2312" w:cs="Times New Roman"/>
          <w:kern w:val="0"/>
          <w:sz w:val="32"/>
          <w:szCs w:val="32"/>
          <w:lang w:val="en-US" w:eastAsia="zh-CN" w:bidi="ar-SA"/>
        </w:rPr>
        <w:t>领导决策提供数据支撑。</w:t>
      </w:r>
      <w:r>
        <w:rPr>
          <w:rFonts w:hint="eastAsia" w:ascii="Times New Roman" w:hAnsi="Times New Roman" w:eastAsia="仿宋_GB2312" w:cs="Times New Roman"/>
          <w:kern w:val="0"/>
          <w:sz w:val="32"/>
          <w:szCs w:val="32"/>
          <w:lang w:val="en-US" w:eastAsia="zh-CN" w:bidi="ar-SA"/>
        </w:rPr>
        <w:t>今年来，先后多次为领导干部调整、人员选调、人才引进等提供快速准确的编制数据服务。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楷体_GB2312" w:hAnsi="楷体_GB2312" w:eastAsia="楷体_GB2312" w:cs="楷体_GB2312"/>
          <w:color w:val="auto"/>
          <w:sz w:val="32"/>
          <w:szCs w:val="32"/>
          <w:lang w:val="en-US" w:eastAsia="zh-CN"/>
        </w:rPr>
        <w:t>2.聚焦转职能转方式转作风，在强化自身建设提升履职能力方面持续发力。</w:t>
      </w:r>
      <w:r>
        <w:rPr>
          <w:rFonts w:hint="eastAsia" w:ascii="仿宋_GB2312" w:hAnsi="仿宋_GB2312" w:eastAsia="仿宋_GB2312" w:cs="仿宋_GB2312"/>
          <w:color w:val="auto"/>
          <w:sz w:val="32"/>
          <w:szCs w:val="32"/>
          <w:highlight w:val="none"/>
          <w:shd w:val="clear" w:color="auto" w:fill="FFFFFF"/>
          <w:lang w:eastAsia="zh-CN"/>
        </w:rPr>
        <w:t>办内各项事务始终做到高标准，严要求。</w:t>
      </w:r>
      <w:r>
        <w:rPr>
          <w:rFonts w:hint="eastAsia" w:ascii="仿宋_GB2312" w:hAnsi="仿宋_GB2312" w:eastAsia="仿宋_GB2312" w:cs="仿宋_GB2312"/>
          <w:b/>
          <w:bCs/>
          <w:color w:val="auto"/>
          <w:sz w:val="32"/>
          <w:szCs w:val="32"/>
          <w:highlight w:val="none"/>
          <w:shd w:val="clear" w:color="auto" w:fill="FFFFFF"/>
          <w:lang w:eastAsia="zh-CN"/>
        </w:rPr>
        <w:t>一是政治理论</w:t>
      </w:r>
      <w:r>
        <w:rPr>
          <w:rFonts w:hint="eastAsia" w:ascii="Times New Roman" w:hAnsi="Times New Roman" w:eastAsia="仿宋_GB2312" w:cs="Times New Roman"/>
          <w:b/>
          <w:sz w:val="32"/>
          <w:szCs w:val="32"/>
          <w:lang w:eastAsia="zh-CN"/>
        </w:rPr>
        <w:t>学习落地落实。</w:t>
      </w:r>
      <w:r>
        <w:rPr>
          <w:rFonts w:hint="eastAsia" w:ascii="Times New Roman" w:hAnsi="Times New Roman" w:eastAsia="仿宋_GB2312" w:cs="Times New Roman"/>
          <w:sz w:val="32"/>
          <w:szCs w:val="32"/>
          <w:lang w:eastAsia="zh-CN"/>
        </w:rPr>
        <w:t>通过编委会领导学、党校干部学、集中培训学、宣传资料学等方式，深入贯彻学习落实</w:t>
      </w:r>
      <w:r>
        <w:rPr>
          <w:rFonts w:hint="eastAsia" w:ascii="Times New Roman" w:hAnsi="Times New Roman" w:eastAsia="仿宋_GB2312" w:cs="Times New Roman"/>
          <w:b w:val="0"/>
          <w:bCs/>
          <w:sz w:val="32"/>
          <w:szCs w:val="32"/>
          <w:lang w:eastAsia="zh-CN"/>
        </w:rPr>
        <w:t>《中国共产党机构编制工作条例》及配套的四办法一规则。另外，结合党史学习主题教育，</w:t>
      </w:r>
      <w:r>
        <w:rPr>
          <w:rFonts w:hint="eastAsia" w:ascii="仿宋_GB2312" w:hAnsi="仿宋_GB2312" w:eastAsia="仿宋_GB2312" w:cs="仿宋_GB2312"/>
          <w:color w:val="191919"/>
          <w:sz w:val="32"/>
          <w:szCs w:val="32"/>
          <w:shd w:val="clear" w:color="auto" w:fill="FFFFFF"/>
        </w:rPr>
        <w:t>以七一建党100周年为契机，深入开展“党旗在基层一线高高飘扬”活动，</w:t>
      </w:r>
      <w:r>
        <w:rPr>
          <w:rFonts w:hint="eastAsia" w:ascii="仿宋_GB2312" w:hAnsi="仿宋_GB2312" w:eastAsia="仿宋_GB2312" w:cs="仿宋_GB2312"/>
          <w:color w:val="191919"/>
          <w:sz w:val="32"/>
          <w:szCs w:val="32"/>
          <w:shd w:val="clear" w:color="auto" w:fill="FFFFFF"/>
          <w:lang w:eastAsia="zh-CN"/>
        </w:rPr>
        <w:t>送党课下基层，</w:t>
      </w:r>
      <w:r>
        <w:rPr>
          <w:rFonts w:hint="eastAsia" w:ascii="仿宋_GB2312" w:hAnsi="仿宋_GB2312" w:eastAsia="仿宋_GB2312" w:cs="仿宋_GB2312"/>
          <w:color w:val="191919"/>
          <w:sz w:val="32"/>
          <w:szCs w:val="32"/>
          <w:shd w:val="clear" w:color="auto" w:fill="FFFFFF"/>
        </w:rPr>
        <w:t>到联点社区开展志愿服务活动。</w:t>
      </w:r>
      <w:r>
        <w:rPr>
          <w:rFonts w:hint="eastAsia" w:ascii="仿宋_GB2312" w:hAnsi="仿宋_GB2312" w:eastAsia="仿宋_GB2312" w:cs="仿宋_GB2312"/>
          <w:color w:val="191919"/>
          <w:sz w:val="32"/>
          <w:szCs w:val="32"/>
          <w:shd w:val="clear" w:color="auto" w:fill="FFFFFF"/>
          <w:lang w:eastAsia="zh-CN"/>
        </w:rPr>
        <w:t>以“我为群众办实事”为契机，帮助困难学生圆读书梦，</w:t>
      </w:r>
      <w:r>
        <w:rPr>
          <w:rFonts w:hint="eastAsia" w:ascii="仿宋_GB2312" w:hAnsi="仿宋_GB2312" w:eastAsia="仿宋_GB2312" w:cs="仿宋_GB2312"/>
          <w:color w:val="191919"/>
          <w:sz w:val="32"/>
          <w:szCs w:val="32"/>
          <w:shd w:val="clear" w:color="auto" w:fill="FFFFFF"/>
        </w:rPr>
        <w:t>积极主动与红会对接，争取</w:t>
      </w:r>
      <w:r>
        <w:rPr>
          <w:rFonts w:hint="eastAsia" w:ascii="仿宋_GB2312" w:hAnsi="仿宋_GB2312" w:eastAsia="仿宋_GB2312" w:cs="仿宋_GB2312"/>
          <w:color w:val="191919"/>
          <w:sz w:val="32"/>
          <w:szCs w:val="32"/>
          <w:shd w:val="clear" w:color="auto" w:fill="FFFFFF"/>
          <w:lang w:eastAsia="zh-CN"/>
        </w:rPr>
        <w:t>资金帮助</w:t>
      </w:r>
      <w:r>
        <w:rPr>
          <w:rFonts w:hint="eastAsia" w:ascii="仿宋_GB2312" w:hAnsi="仿宋_GB2312" w:eastAsia="仿宋_GB2312" w:cs="仿宋_GB2312"/>
          <w:color w:val="191919"/>
          <w:sz w:val="32"/>
          <w:szCs w:val="32"/>
          <w:shd w:val="clear" w:color="auto" w:fill="FFFFFF"/>
        </w:rPr>
        <w:t>。动员干部</w:t>
      </w:r>
      <w:r>
        <w:rPr>
          <w:rFonts w:hint="eastAsia" w:ascii="仿宋_GB2312" w:hAnsi="仿宋_GB2312" w:eastAsia="仿宋_GB2312" w:cs="仿宋_GB2312"/>
          <w:color w:val="191919"/>
          <w:sz w:val="32"/>
          <w:szCs w:val="32"/>
          <w:shd w:val="clear" w:color="auto" w:fill="FFFFFF"/>
          <w:lang w:eastAsia="zh-CN"/>
        </w:rPr>
        <w:t>捐款捐物，</w:t>
      </w:r>
      <w:r>
        <w:rPr>
          <w:rFonts w:hint="eastAsia" w:ascii="仿宋_GB2312" w:hAnsi="仿宋_GB2312" w:eastAsia="仿宋_GB2312" w:cs="仿宋_GB2312"/>
          <w:color w:val="191919"/>
          <w:sz w:val="32"/>
          <w:szCs w:val="32"/>
          <w:shd w:val="clear" w:color="auto" w:fill="FFFFFF"/>
        </w:rPr>
        <w:t>送上募捐慰问金 2200元，解决</w:t>
      </w:r>
      <w:r>
        <w:rPr>
          <w:rFonts w:hint="eastAsia" w:ascii="仿宋_GB2312" w:hAnsi="仿宋_GB2312" w:eastAsia="仿宋_GB2312" w:cs="仿宋_GB2312"/>
          <w:color w:val="191919"/>
          <w:sz w:val="32"/>
          <w:szCs w:val="32"/>
          <w:shd w:val="clear" w:color="auto" w:fill="FFFFFF"/>
          <w:lang w:eastAsia="zh-CN"/>
        </w:rPr>
        <w:t>小朋友读书难的问题</w:t>
      </w:r>
      <w:r>
        <w:rPr>
          <w:rFonts w:hint="eastAsia" w:ascii="仿宋_GB2312" w:hAnsi="仿宋_GB2312" w:eastAsia="仿宋_GB2312" w:cs="仿宋_GB2312"/>
          <w:color w:val="191919"/>
          <w:sz w:val="32"/>
          <w:szCs w:val="32"/>
          <w:shd w:val="clear" w:color="auto" w:fill="FFFFFF"/>
        </w:rPr>
        <w:t>。</w:t>
      </w:r>
      <w:r>
        <w:rPr>
          <w:rFonts w:hint="eastAsia" w:ascii="仿宋_GB2312" w:hAnsi="仿宋_GB2312" w:eastAsia="仿宋_GB2312" w:cs="仿宋_GB2312"/>
          <w:b/>
          <w:bCs/>
          <w:color w:val="191919"/>
          <w:sz w:val="32"/>
          <w:szCs w:val="32"/>
          <w:shd w:val="clear" w:color="auto" w:fill="FFFFFF"/>
          <w:lang w:eastAsia="zh-CN"/>
        </w:rPr>
        <w:t>二是</w:t>
      </w:r>
      <w:r>
        <w:rPr>
          <w:rFonts w:hint="eastAsia" w:ascii="Times New Roman" w:hAnsi="Times New Roman" w:eastAsia="仿宋_GB2312" w:cs="Times New Roman"/>
          <w:b/>
          <w:sz w:val="32"/>
          <w:szCs w:val="32"/>
          <w:lang w:eastAsia="zh-CN"/>
        </w:rPr>
        <w:t>疫情防控彰显担当</w:t>
      </w:r>
      <w:r>
        <w:rPr>
          <w:rFonts w:ascii="Times New Roman" w:hAnsi="Times New Roman" w:eastAsia="仿宋_GB2312" w:cs="Times New Roman"/>
          <w:b/>
          <w:sz w:val="32"/>
          <w:szCs w:val="32"/>
        </w:rPr>
        <w:t>。</w:t>
      </w:r>
      <w:r>
        <w:rPr>
          <w:rFonts w:hint="eastAsia" w:ascii="Times New Roman" w:hAnsi="Times New Roman" w:eastAsia="仿宋_GB2312" w:cs="Times New Roman"/>
          <w:b w:val="0"/>
          <w:bCs/>
          <w:sz w:val="32"/>
          <w:szCs w:val="32"/>
          <w:lang w:val="en-US" w:eastAsia="zh-CN"/>
        </w:rPr>
        <w:t>7月下旬</w:t>
      </w:r>
      <w:r>
        <w:rPr>
          <w:rFonts w:hint="eastAsia" w:ascii="Times New Roman" w:hAnsi="Times New Roman" w:eastAsia="仿宋_GB2312" w:cs="Times New Roman"/>
          <w:b w:val="0"/>
          <w:bCs/>
          <w:sz w:val="32"/>
          <w:szCs w:val="32"/>
          <w:lang w:eastAsia="zh-CN"/>
        </w:rPr>
        <w:t>，武陵区通报新冠肺炎无症状患者一例，</w:t>
      </w:r>
      <w:r>
        <w:rPr>
          <w:rFonts w:ascii="Times New Roman" w:hAnsi="Times New Roman" w:eastAsia="仿宋_GB2312" w:cs="Times New Roman"/>
          <w:sz w:val="32"/>
          <w:szCs w:val="32"/>
        </w:rPr>
        <w:t>区委编办</w:t>
      </w:r>
      <w:r>
        <w:rPr>
          <w:rFonts w:hint="eastAsia" w:ascii="Times New Roman" w:hAnsi="Times New Roman" w:eastAsia="仿宋_GB2312" w:cs="Times New Roman"/>
          <w:sz w:val="32"/>
          <w:szCs w:val="32"/>
          <w:lang w:eastAsia="zh-CN"/>
        </w:rPr>
        <w:t>党员干部主动请缨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全力</w:t>
      </w:r>
      <w:r>
        <w:rPr>
          <w:rFonts w:ascii="Times New Roman" w:hAnsi="Times New Roman" w:eastAsia="仿宋_GB2312" w:cs="Times New Roman"/>
          <w:sz w:val="32"/>
          <w:szCs w:val="32"/>
        </w:rPr>
        <w:t>参与疫情防控工作。干部下沉社区，每天轮流值班，做好社区入口人员和车辆体温测量，查验和登记外来人员，向居民、群众宣传疫情防控政策和个人防护知识，与社区干部共同筑牢“防控墙”。充分发挥“舍小家、顾大家”的优良作风，争做一线逆行者</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color w:val="191919"/>
          <w:sz w:val="32"/>
          <w:szCs w:val="32"/>
          <w:shd w:val="clear" w:color="auto" w:fill="FFFFFF"/>
          <w:lang w:eastAsia="zh-CN"/>
        </w:rPr>
        <w:t>奉献者、守护者，不畏酷暑，坚守疫情一线</w:t>
      </w:r>
      <w:r>
        <w:rPr>
          <w:rFonts w:hint="eastAsia" w:ascii="仿宋_GB2312" w:hAnsi="仿宋_GB2312" w:eastAsia="仿宋_GB2312" w:cs="仿宋_GB2312"/>
          <w:color w:val="191919"/>
          <w:sz w:val="32"/>
          <w:szCs w:val="32"/>
          <w:shd w:val="clear" w:color="auto" w:fill="FFFFFF"/>
          <w:lang w:val="en-US" w:eastAsia="zh-CN"/>
        </w:rPr>
        <w:t>26天</w:t>
      </w:r>
      <w:r>
        <w:rPr>
          <w:rFonts w:ascii="Times New Roman" w:hAnsi="Times New Roman" w:eastAsia="仿宋_GB2312" w:cs="Times New Roman"/>
          <w:sz w:val="32"/>
          <w:szCs w:val="32"/>
        </w:rPr>
        <w:t>。</w:t>
      </w:r>
      <w:r>
        <w:rPr>
          <w:rFonts w:hint="eastAsia" w:ascii="Times New Roman" w:hAnsi="Times New Roman" w:eastAsia="仿宋_GB2312" w:cs="Times New Roman"/>
          <w:b/>
          <w:bCs/>
          <w:sz w:val="32"/>
          <w:szCs w:val="32"/>
          <w:lang w:eastAsia="zh-CN"/>
        </w:rPr>
        <w:t>三是</w:t>
      </w:r>
      <w:r>
        <w:rPr>
          <w:rFonts w:hint="eastAsia" w:ascii="Times New Roman" w:hAnsi="Times New Roman" w:eastAsia="仿宋_GB2312" w:cs="Times New Roman"/>
          <w:b/>
          <w:sz w:val="32"/>
          <w:szCs w:val="32"/>
          <w:lang w:eastAsia="zh-CN"/>
        </w:rPr>
        <w:t>文明创建有声有色。</w:t>
      </w:r>
      <w:r>
        <w:rPr>
          <w:rStyle w:val="7"/>
          <w:rFonts w:ascii="仿宋_GB2312" w:hAnsi="微软雅黑" w:eastAsia="仿宋_GB2312" w:cs="仿宋_GB2312"/>
          <w:b w:val="0"/>
          <w:bCs/>
          <w:i w:val="0"/>
          <w:caps w:val="0"/>
          <w:color w:val="000000"/>
          <w:spacing w:val="0"/>
          <w:sz w:val="31"/>
          <w:szCs w:val="31"/>
          <w:shd w:val="clear" w:color="auto" w:fill="FFFFFF"/>
        </w:rPr>
        <w:t>深入推进社会主义核心价值体系建设，</w:t>
      </w:r>
      <w:r>
        <w:rPr>
          <w:rStyle w:val="7"/>
          <w:rFonts w:hint="eastAsia" w:ascii="仿宋_GB2312" w:hAnsi="微软雅黑" w:eastAsia="仿宋_GB2312" w:cs="仿宋_GB2312"/>
          <w:b w:val="0"/>
          <w:bCs/>
          <w:i w:val="0"/>
          <w:caps w:val="0"/>
          <w:color w:val="000000"/>
          <w:spacing w:val="0"/>
          <w:sz w:val="31"/>
          <w:szCs w:val="31"/>
          <w:shd w:val="clear" w:color="auto" w:fill="FFFFFF"/>
          <w:lang w:eastAsia="zh-CN"/>
        </w:rPr>
        <w:t>结合文明武陵要求，深入</w:t>
      </w:r>
      <w:r>
        <w:rPr>
          <w:rStyle w:val="7"/>
          <w:rFonts w:hint="eastAsia" w:ascii="仿宋_GB2312" w:hAnsi="微软雅黑" w:eastAsia="仿宋_GB2312" w:cs="仿宋_GB2312"/>
          <w:b w:val="0"/>
          <w:bCs/>
          <w:i w:val="0"/>
          <w:caps w:val="0"/>
          <w:color w:val="000000"/>
          <w:spacing w:val="0"/>
          <w:sz w:val="31"/>
          <w:szCs w:val="31"/>
          <w:shd w:val="clear" w:color="auto" w:fill="FFFFFF"/>
        </w:rPr>
        <w:t>开展</w:t>
      </w:r>
      <w:r>
        <w:rPr>
          <w:rStyle w:val="7"/>
          <w:rFonts w:hint="eastAsia" w:ascii="仿宋_GB2312" w:hAnsi="微软雅黑" w:eastAsia="仿宋_GB2312" w:cs="仿宋_GB2312"/>
          <w:b w:val="0"/>
          <w:bCs/>
          <w:i w:val="0"/>
          <w:caps w:val="0"/>
          <w:color w:val="000000"/>
          <w:spacing w:val="0"/>
          <w:sz w:val="31"/>
          <w:szCs w:val="31"/>
          <w:shd w:val="clear" w:color="auto" w:fill="FFFFFF"/>
          <w:lang w:eastAsia="zh-CN"/>
        </w:rPr>
        <w:t>形式多样的</w:t>
      </w:r>
      <w:r>
        <w:rPr>
          <w:rStyle w:val="7"/>
          <w:rFonts w:hint="eastAsia" w:ascii="仿宋_GB2312" w:hAnsi="微软雅黑" w:eastAsia="仿宋_GB2312" w:cs="仿宋_GB2312"/>
          <w:b w:val="0"/>
          <w:bCs/>
          <w:i w:val="0"/>
          <w:caps w:val="0"/>
          <w:color w:val="000000"/>
          <w:spacing w:val="0"/>
          <w:sz w:val="31"/>
          <w:szCs w:val="31"/>
          <w:shd w:val="clear" w:color="auto" w:fill="FFFFFF"/>
        </w:rPr>
        <w:t>文明和谐创建活动，</w:t>
      </w:r>
      <w:r>
        <w:rPr>
          <w:rFonts w:hint="eastAsia" w:ascii="Times New Roman" w:hAnsi="Times New Roman" w:eastAsia="仿宋_GB2312" w:cs="Times New Roman"/>
          <w:b w:val="0"/>
          <w:bCs/>
          <w:sz w:val="32"/>
          <w:szCs w:val="32"/>
          <w:lang w:eastAsia="zh-CN"/>
        </w:rPr>
        <w:t>组</w:t>
      </w:r>
      <w:r>
        <w:rPr>
          <w:rFonts w:ascii="Times New Roman" w:hAnsi="Times New Roman" w:eastAsia="仿宋_GB2312" w:cs="Times New Roman"/>
          <w:b w:val="0"/>
          <w:bCs/>
          <w:sz w:val="32"/>
          <w:szCs w:val="32"/>
        </w:rPr>
        <w:t>织开</w:t>
      </w:r>
      <w:r>
        <w:rPr>
          <w:rFonts w:ascii="Times New Roman" w:hAnsi="Times New Roman" w:eastAsia="仿宋_GB2312" w:cs="Times New Roman"/>
          <w:sz w:val="32"/>
          <w:szCs w:val="32"/>
        </w:rPr>
        <w:t>展“我们的节日”活动</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次，志愿服务活动10次，道德讲堂</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次，文体活动4次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丰富了干部的文化生活，增强了</w:t>
      </w:r>
      <w:r>
        <w:rPr>
          <w:rFonts w:hint="eastAsia" w:ascii="Times New Roman" w:hAnsi="Times New Roman" w:eastAsia="仿宋_GB2312" w:cs="Times New Roman"/>
          <w:sz w:val="32"/>
          <w:szCs w:val="32"/>
          <w:lang w:eastAsia="zh-CN"/>
        </w:rPr>
        <w:t>办内</w:t>
      </w:r>
      <w:r>
        <w:rPr>
          <w:rFonts w:ascii="Times New Roman" w:hAnsi="Times New Roman" w:eastAsia="仿宋_GB2312" w:cs="Times New Roman"/>
          <w:sz w:val="32"/>
          <w:szCs w:val="32"/>
        </w:rPr>
        <w:t>凝聚力与向心力</w:t>
      </w:r>
      <w:r>
        <w:rPr>
          <w:rFonts w:hint="eastAsia" w:ascii="Times New Roman" w:hAnsi="Times New Roman" w:eastAsia="仿宋_GB2312" w:cs="Times New Roman"/>
          <w:sz w:val="32"/>
          <w:szCs w:val="32"/>
          <w:lang w:eastAsia="zh-CN"/>
        </w:rPr>
        <w:t>。在全办干部努力下，武陵区委编办成功创建市级文明标兵单位，连续</w:t>
      </w:r>
      <w:r>
        <w:rPr>
          <w:rFonts w:hint="eastAsia" w:ascii="Times New Roman" w:hAnsi="Times New Roman" w:eastAsia="仿宋_GB2312" w:cs="Times New Roman"/>
          <w:sz w:val="32"/>
          <w:szCs w:val="32"/>
          <w:lang w:val="en-US" w:eastAsia="zh-CN"/>
        </w:rPr>
        <w:t>5年</w:t>
      </w:r>
      <w:r>
        <w:rPr>
          <w:rFonts w:hint="eastAsia" w:ascii="Times New Roman" w:hAnsi="Times New Roman" w:eastAsia="仿宋_GB2312" w:cs="Times New Roman"/>
          <w:sz w:val="32"/>
          <w:szCs w:val="32"/>
          <w:lang w:eastAsia="zh-CN"/>
        </w:rPr>
        <w:t>荣获区绩效考核红旗单位、综治优秀单位。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Times New Roman" w:eastAsia="仿宋_GB2312" w:cs="Times New Roman"/>
          <w:kern w:val="2"/>
          <w:sz w:val="32"/>
          <w:szCs w:val="32"/>
          <w:highlight w:val="none"/>
          <w:lang w:val="en-US" w:eastAsia="zh-CN"/>
        </w:rPr>
      </w:pPr>
      <w:r>
        <w:rPr>
          <w:rFonts w:hint="eastAsia" w:ascii="楷体_GB2312" w:hAnsi="楷体_GB2312" w:eastAsia="楷体_GB2312" w:cs="楷体_GB2312"/>
          <w:color w:val="auto"/>
          <w:sz w:val="32"/>
          <w:szCs w:val="32"/>
          <w:lang w:val="en-US" w:eastAsia="zh-CN"/>
        </w:rPr>
        <w:t>3.聚焦贯彻落实《条例》，在机构编制监督检查方面持续发力。</w:t>
      </w:r>
      <w:r>
        <w:rPr>
          <w:rFonts w:hint="eastAsia" w:ascii="仿宋_GB2312" w:hAnsi="仿宋_GB2312" w:eastAsia="仿宋_GB2312" w:cs="仿宋_GB2312"/>
          <w:color w:val="auto"/>
          <w:kern w:val="0"/>
          <w:sz w:val="32"/>
          <w:szCs w:val="32"/>
          <w:lang w:val="en-US" w:eastAsia="zh-CN" w:bidi="ar-SA"/>
        </w:rPr>
        <w:t>重点围绕省委巡视问题整改，确保整改工作落细落实落地。</w:t>
      </w:r>
      <w:r>
        <w:rPr>
          <w:rFonts w:hint="eastAsia" w:ascii="Times New Roman" w:hAnsi="Times New Roman" w:eastAsia="仿宋_GB2312" w:cs="Times New Roman"/>
          <w:b/>
          <w:bCs/>
          <w:kern w:val="0"/>
          <w:sz w:val="32"/>
          <w:szCs w:val="32"/>
          <w:lang w:val="en-US" w:eastAsia="zh-CN" w:bidi="ar-SA"/>
        </w:rPr>
        <w:t>一是重点推进显成效。</w:t>
      </w:r>
      <w:r>
        <w:rPr>
          <w:rFonts w:hint="eastAsia" w:ascii="Times New Roman" w:hAnsi="Times New Roman" w:eastAsia="仿宋_GB2312" w:cs="Times New Roman"/>
          <w:kern w:val="0"/>
          <w:sz w:val="32"/>
          <w:szCs w:val="32"/>
          <w:lang w:val="en-US" w:eastAsia="zh-CN" w:bidi="ar-SA"/>
        </w:rPr>
        <w:t>围绕省委巡视指出的53项问题，将问题分为立行立改、持续整改，绘制路线图，明确进度表，逐项明确责任领导、责任单位、完成时限等内容。区委主要领导定期召开会议研究整改进度，统筹解决整改工作中遇到的难点问题，做到每个问题都反复与省、市编办协商汇报，每个问题都反复与涉及单位讨论研究，严格按照整改要求，政策口径进行整改销号。</w:t>
      </w:r>
      <w:r>
        <w:rPr>
          <w:rFonts w:hint="default" w:ascii="Times New Roman" w:hAnsi="Times New Roman" w:eastAsia="仿宋_GB2312" w:cs="Times New Roman"/>
          <w:kern w:val="0"/>
          <w:sz w:val="32"/>
          <w:szCs w:val="32"/>
          <w:lang w:val="en-US" w:eastAsia="zh-CN" w:bidi="ar-SA"/>
        </w:rPr>
        <w:t>目前已销号</w:t>
      </w:r>
      <w:r>
        <w:rPr>
          <w:rFonts w:hint="eastAsia" w:ascii="Times New Roman" w:hAnsi="Times New Roman" w:eastAsia="仿宋_GB2312" w:cs="Times New Roman"/>
          <w:kern w:val="0"/>
          <w:sz w:val="32"/>
          <w:szCs w:val="32"/>
          <w:lang w:val="en-US" w:eastAsia="zh-CN" w:bidi="ar-SA"/>
        </w:rPr>
        <w:t>35</w:t>
      </w:r>
      <w:r>
        <w:rPr>
          <w:rFonts w:hint="default" w:ascii="Times New Roman" w:hAnsi="Times New Roman" w:eastAsia="仿宋_GB2312" w:cs="Times New Roman"/>
          <w:kern w:val="0"/>
          <w:sz w:val="32"/>
          <w:szCs w:val="32"/>
          <w:lang w:val="en-US" w:eastAsia="zh-CN" w:bidi="ar-SA"/>
        </w:rPr>
        <w:t>项</w:t>
      </w:r>
      <w:r>
        <w:rPr>
          <w:rFonts w:hint="eastAsia" w:ascii="Times New Roman" w:hAnsi="Times New Roman" w:eastAsia="仿宋_GB2312" w:cs="Times New Roman"/>
          <w:kern w:val="0"/>
          <w:sz w:val="32"/>
          <w:szCs w:val="32"/>
          <w:lang w:val="en-US" w:eastAsia="zh-CN" w:bidi="ar-SA"/>
        </w:rPr>
        <w:t>，余下18项均已</w:t>
      </w:r>
      <w:r>
        <w:rPr>
          <w:rFonts w:hint="default" w:ascii="Times New Roman" w:hAnsi="Times New Roman" w:eastAsia="仿宋_GB2312" w:cs="Times New Roman"/>
          <w:kern w:val="0"/>
          <w:sz w:val="32"/>
          <w:szCs w:val="32"/>
          <w:lang w:val="en-US" w:eastAsia="zh-CN" w:bidi="ar-SA"/>
        </w:rPr>
        <w:t>制定整改方案和措施，正在按照计划进行整改</w:t>
      </w:r>
      <w:r>
        <w:rPr>
          <w:rFonts w:hint="eastAsia"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b/>
          <w:bCs/>
          <w:kern w:val="0"/>
          <w:sz w:val="32"/>
          <w:szCs w:val="32"/>
          <w:lang w:val="en-US" w:eastAsia="zh-CN" w:bidi="ar-SA"/>
        </w:rPr>
        <w:t>二是整章建制促长效。</w:t>
      </w:r>
      <w:r>
        <w:rPr>
          <w:rFonts w:hint="eastAsia" w:ascii="Times New Roman" w:hAnsi="Times New Roman" w:eastAsia="仿宋_GB2312" w:cs="Times New Roman"/>
          <w:kern w:val="0"/>
          <w:sz w:val="32"/>
          <w:szCs w:val="32"/>
          <w:lang w:val="en-US" w:eastAsia="zh-CN" w:bidi="ar-SA"/>
        </w:rPr>
        <w:t>通过对问题的深入整改，自查审视机构编制工作存在的问题和不足，进一步</w:t>
      </w:r>
      <w:r>
        <w:rPr>
          <w:rFonts w:hint="default" w:ascii="Times New Roman" w:hAnsi="Times New Roman" w:eastAsia="仿宋_GB2312" w:cs="Times New Roman"/>
          <w:kern w:val="0"/>
          <w:sz w:val="32"/>
          <w:szCs w:val="32"/>
          <w:lang w:val="en-US" w:eastAsia="zh-CN" w:bidi="ar-SA"/>
        </w:rPr>
        <w:t>规范区内“三同人员”办理基本原则与办理程序，出台流动调配编制异动办理细则</w:t>
      </w:r>
      <w:r>
        <w:rPr>
          <w:rFonts w:hint="eastAsia" w:ascii="Times New Roman" w:hAnsi="Times New Roman" w:eastAsia="仿宋_GB2312" w:cs="Times New Roman"/>
          <w:kern w:val="0"/>
          <w:sz w:val="32"/>
          <w:szCs w:val="32"/>
          <w:lang w:val="en-US" w:eastAsia="zh-CN" w:bidi="ar-SA"/>
        </w:rPr>
        <w:t>、初</w:t>
      </w:r>
      <w:r>
        <w:rPr>
          <w:rFonts w:hint="eastAsia" w:ascii="Times New Roman" w:hAnsi="Times New Roman" w:eastAsia="仿宋_GB2312" w:cs="Times New Roman"/>
          <w:sz w:val="32"/>
          <w:szCs w:val="32"/>
          <w:lang w:eastAsia="zh-CN"/>
        </w:rPr>
        <w:t>步拟定临聘人员管理实施办法</w:t>
      </w:r>
      <w:r>
        <w:rPr>
          <w:rFonts w:hint="default" w:ascii="Times New Roman" w:hAnsi="Times New Roman" w:eastAsia="仿宋_GB2312" w:cs="Times New Roman"/>
          <w:sz w:val="32"/>
          <w:szCs w:val="32"/>
        </w:rPr>
        <w:t>。会同组织、人社、财政等部门重新修订了《关于从严规范人员借调工作进一步严肃干部人事工作纪律的实施意见（试行）》，同财政部门重新修订《关于进一步完善全区机关事业单位实行人员编制与经费预算联合管控的通知》等规定，进一步明晰工作职责，规范人员流动调配，确保各项工作有章可依。</w:t>
      </w:r>
      <w:r>
        <w:rPr>
          <w:rFonts w:hint="eastAsia" w:ascii="仿宋_GB2312" w:hAnsi="Times New Roman" w:eastAsia="仿宋_GB2312" w:cs="Times New Roman"/>
          <w:b/>
          <w:bCs w:val="0"/>
          <w:kern w:val="2"/>
          <w:sz w:val="32"/>
          <w:szCs w:val="32"/>
          <w:highlight w:val="none"/>
        </w:rPr>
        <w:t>三是</w:t>
      </w:r>
      <w:r>
        <w:rPr>
          <w:rFonts w:hint="eastAsia" w:ascii="仿宋_GB2312" w:hAnsi="Times New Roman" w:eastAsia="仿宋_GB2312" w:cs="Times New Roman"/>
          <w:b/>
          <w:bCs w:val="0"/>
          <w:kern w:val="2"/>
          <w:sz w:val="32"/>
          <w:szCs w:val="32"/>
          <w:highlight w:val="none"/>
          <w:lang w:eastAsia="zh-CN"/>
        </w:rPr>
        <w:t>顽疾整改见实效</w:t>
      </w:r>
      <w:r>
        <w:rPr>
          <w:rFonts w:hint="eastAsia" w:ascii="仿宋_GB2312" w:hAnsi="Times New Roman" w:eastAsia="仿宋_GB2312" w:cs="Times New Roman"/>
          <w:kern w:val="2"/>
          <w:sz w:val="32"/>
          <w:szCs w:val="32"/>
          <w:highlight w:val="none"/>
        </w:rPr>
        <w:t>。</w:t>
      </w:r>
      <w:r>
        <w:rPr>
          <w:rFonts w:hint="eastAsia" w:ascii="仿宋_GB2312" w:hAnsi="Times New Roman" w:eastAsia="仿宋_GB2312" w:cs="Times New Roman"/>
          <w:kern w:val="2"/>
          <w:sz w:val="32"/>
          <w:szCs w:val="32"/>
          <w:highlight w:val="none"/>
          <w:lang w:eastAsia="zh-CN"/>
        </w:rPr>
        <w:t>对原来存在的挂牌机构不规范、内设机构设置过多等长期难以解决的问题，经省委巡视指出后，迅速整改，全区各单位挂牌更规范，精简内设机构</w:t>
      </w:r>
      <w:r>
        <w:rPr>
          <w:rFonts w:hint="eastAsia" w:ascii="仿宋_GB2312" w:hAnsi="Times New Roman" w:eastAsia="仿宋_GB2312" w:cs="Times New Roman"/>
          <w:kern w:val="2"/>
          <w:sz w:val="32"/>
          <w:szCs w:val="32"/>
          <w:highlight w:val="none"/>
          <w:lang w:val="en-US" w:eastAsia="zh-CN"/>
        </w:rPr>
        <w:t>50个</w:t>
      </w:r>
      <w:r>
        <w:rPr>
          <w:rFonts w:hint="eastAsia" w:ascii="仿宋_GB2312" w:hAnsi="Times New Roman" w:eastAsia="仿宋_GB2312" w:cs="Times New Roman"/>
          <w:kern w:val="2"/>
          <w:sz w:val="32"/>
          <w:szCs w:val="32"/>
          <w:highlight w:val="none"/>
          <w:lang w:eastAsia="zh-CN"/>
        </w:rPr>
        <w:t>。未经批准，基层医疗服务单位通过人事代理的方式自行长期聘请编外人员近</w:t>
      </w:r>
      <w:r>
        <w:rPr>
          <w:rFonts w:hint="eastAsia" w:ascii="仿宋_GB2312" w:hAnsi="Times New Roman" w:eastAsia="仿宋_GB2312" w:cs="Times New Roman"/>
          <w:kern w:val="2"/>
          <w:sz w:val="32"/>
          <w:szCs w:val="32"/>
          <w:highlight w:val="none"/>
          <w:lang w:val="en-US" w:eastAsia="zh-CN"/>
        </w:rPr>
        <w:t>200名，我们多次指出后部门置若罔闻，待省委巡视发现。被</w:t>
      </w:r>
      <w:r>
        <w:rPr>
          <w:rFonts w:hint="eastAsia" w:ascii="仿宋_GB2312" w:hAnsi="Times New Roman" w:eastAsia="仿宋_GB2312" w:cs="Times New Roman"/>
          <w:kern w:val="2"/>
          <w:sz w:val="32"/>
          <w:szCs w:val="32"/>
          <w:highlight w:val="none"/>
          <w:lang w:eastAsia="zh-CN"/>
        </w:rPr>
        <w:t>立即叫停，并列入整改清单，解决了我们长期想解决但无力解决的问题。</w:t>
      </w:r>
    </w:p>
    <w:p>
      <w:pPr>
        <w:keepNext w:val="0"/>
        <w:keepLines w:val="0"/>
        <w:pageBreakBefore w:val="0"/>
        <w:kinsoku/>
        <w:wordWrap/>
        <w:overflowPunct w:val="0"/>
        <w:topLinePunct w:val="0"/>
        <w:autoSpaceDE/>
        <w:autoSpaceDN/>
        <w:bidi w:val="0"/>
        <w:adjustRightInd/>
        <w:spacing w:line="600" w:lineRule="exact"/>
        <w:ind w:firstLine="640"/>
        <w:jc w:val="left"/>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sz w:val="32"/>
          <w:szCs w:val="32"/>
          <w:lang w:val="en-US" w:eastAsia="zh-CN"/>
        </w:rPr>
        <w:t>4.</w:t>
      </w:r>
      <w:r>
        <w:rPr>
          <w:rFonts w:ascii="Times New Roman" w:hAnsi="Times New Roman" w:eastAsia="黑体" w:cs="Times New Roman"/>
          <w:sz w:val="32"/>
          <w:szCs w:val="32"/>
        </w:rPr>
        <w:t>落实意识形态工作责任制情况</w:t>
      </w:r>
    </w:p>
    <w:p>
      <w:pPr>
        <w:keepNext w:val="0"/>
        <w:keepLines w:val="0"/>
        <w:pageBreakBefore w:val="0"/>
        <w:kinsoku/>
        <w:wordWrap/>
        <w:overflowPunct w:val="0"/>
        <w:topLinePunct w:val="0"/>
        <w:autoSpaceDE/>
        <w:autoSpaceDN/>
        <w:bidi w:val="0"/>
        <w:adjustRightInd/>
        <w:spacing w:line="600" w:lineRule="exact"/>
        <w:ind w:firstLine="643" w:firstLineChars="200"/>
        <w:textAlignment w:val="auto"/>
        <w:rPr>
          <w:rFonts w:ascii="Times New Roman" w:hAnsi="Times New Roman" w:eastAsia="仿宋_GB2312" w:cs="Times New Roman"/>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提高政治站位，强化使命担当。</w:t>
      </w:r>
      <w:r>
        <w:rPr>
          <w:rFonts w:hint="eastAsia" w:ascii="Times New Roman" w:hAnsi="Times New Roman" w:eastAsia="仿宋_GB2312" w:cs="Times New Roman"/>
          <w:bCs/>
          <w:sz w:val="32"/>
          <w:szCs w:val="32"/>
        </w:rPr>
        <w:t>我办</w:t>
      </w:r>
      <w:r>
        <w:rPr>
          <w:rFonts w:ascii="Times New Roman" w:hAnsi="Times New Roman" w:eastAsia="仿宋_GB2312" w:cs="Times New Roman"/>
          <w:bCs/>
          <w:sz w:val="32"/>
          <w:szCs w:val="32"/>
        </w:rPr>
        <w:t>认真学习和深入贯彻中央关于意识形态工作的决策部署，始终站稳政治立场、保持政治定力、把准政治方向，在政治上思想上行动上始终与以习近平同志为核心的党中央保持高度一致。认真落实中央和省、市、区委关于推进意识形态工作责任制决策部署，建立健全实施细则，进一步明确意识形态工作责任。</w:t>
      </w:r>
    </w:p>
    <w:p>
      <w:pPr>
        <w:keepNext w:val="0"/>
        <w:keepLines w:val="0"/>
        <w:pageBreakBefore w:val="0"/>
        <w:kinsoku/>
        <w:wordWrap/>
        <w:overflowPunct w:val="0"/>
        <w:topLinePunct w:val="0"/>
        <w:autoSpaceDE/>
        <w:autoSpaceDN/>
        <w:bidi w:val="0"/>
        <w:adjustRightInd/>
        <w:spacing w:line="600" w:lineRule="exact"/>
        <w:ind w:firstLine="643" w:firstLineChars="200"/>
        <w:textAlignment w:val="auto"/>
        <w:rPr>
          <w:rFonts w:ascii="Times New Roman" w:hAnsi="Times New Roman" w:eastAsia="仿宋_GB2312" w:cs="Times New Roman"/>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加强组织领导，压实工作责任。</w:t>
      </w:r>
      <w:r>
        <w:rPr>
          <w:rFonts w:ascii="Times New Roman" w:hAnsi="Times New Roman" w:eastAsia="仿宋_GB2312" w:cs="Times New Roman"/>
          <w:bCs/>
          <w:sz w:val="32"/>
          <w:szCs w:val="32"/>
        </w:rPr>
        <w:t>长期以来，</w:t>
      </w:r>
      <w:r>
        <w:rPr>
          <w:rFonts w:hint="eastAsia" w:ascii="Times New Roman" w:hAnsi="Times New Roman" w:eastAsia="仿宋_GB2312" w:cs="Times New Roman"/>
          <w:bCs/>
          <w:sz w:val="32"/>
          <w:szCs w:val="32"/>
        </w:rPr>
        <w:t>我办</w:t>
      </w:r>
      <w:r>
        <w:rPr>
          <w:rFonts w:ascii="Times New Roman" w:hAnsi="Times New Roman" w:eastAsia="仿宋_GB2312" w:cs="Times New Roman"/>
          <w:bCs/>
          <w:sz w:val="32"/>
          <w:szCs w:val="32"/>
        </w:rPr>
        <w:t>坚持把意识形态工作摆在重要位置，明确工作目标，压实工作责任。定期开展意识形态教育，通过集中学习，交流研讨等方式，切实加强对全办党员干部应对各种网络舆情，维护网络意识形态安全的能力培养。高度重视网络意识形态安全，重点加强对</w:t>
      </w:r>
      <w:r>
        <w:rPr>
          <w:rFonts w:hint="eastAsia" w:ascii="Times New Roman" w:hAnsi="Times New Roman" w:eastAsia="仿宋_GB2312" w:cs="Times New Roman"/>
          <w:bCs/>
          <w:sz w:val="32"/>
          <w:szCs w:val="32"/>
        </w:rPr>
        <w:t>区委编办门户</w:t>
      </w:r>
      <w:r>
        <w:rPr>
          <w:rFonts w:ascii="Times New Roman" w:hAnsi="Times New Roman" w:eastAsia="仿宋_GB2312" w:cs="Times New Roman"/>
          <w:bCs/>
          <w:sz w:val="32"/>
          <w:szCs w:val="32"/>
        </w:rPr>
        <w:t>网站等互联网宣传媒介的管理，突出正确舆论导向，严格内容审核、发送程序，不断健全管理制度。</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3" w:firstLineChars="200"/>
        <w:rPr>
          <w:rFonts w:ascii="Times New Roman" w:hAnsi="Times New Roman" w:eastAsia="仿宋_GB2312" w:cs="Times New Roman"/>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注重分析研判，聚力舆论宣传。</w:t>
      </w:r>
      <w:r>
        <w:rPr>
          <w:rFonts w:ascii="Times New Roman" w:hAnsi="Times New Roman" w:eastAsia="仿宋_GB2312" w:cs="Times New Roman"/>
          <w:bCs/>
          <w:sz w:val="32"/>
          <w:szCs w:val="32"/>
        </w:rPr>
        <w:t>坚持问题导向，结合机关支部“三会一课”、中心组学习、班子会议，定期对意识形态工作进行分析研判，查找党员干部存在的模糊认识和突出问题。尤其是对涉及党政机构改革、乡镇机构改革等事关人民切身利益的改革工作，坚持团结、稳定、正面宣传为主的原则，牢牢把握正确的舆论导向，营造良好的舆论氛围。</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黑体"/>
          <w:color w:val="222222"/>
          <w:kern w:val="0"/>
          <w:sz w:val="32"/>
          <w:szCs w:val="32"/>
          <w:lang w:val="en-US" w:eastAsia="zh-CN"/>
        </w:rPr>
      </w:pPr>
      <w:r>
        <w:rPr>
          <w:rFonts w:hint="eastAsia" w:ascii="Times New Roman" w:hAnsi="Times New Roman" w:eastAsia="黑体"/>
          <w:color w:val="222222"/>
          <w:kern w:val="0"/>
          <w:sz w:val="32"/>
          <w:szCs w:val="32"/>
          <w:lang w:eastAsia="zh-CN"/>
        </w:rPr>
        <w:t>七、</w:t>
      </w:r>
      <w:r>
        <w:rPr>
          <w:rFonts w:ascii="Times New Roman" w:hAnsi="Times New Roman" w:eastAsia="黑体"/>
          <w:color w:val="222222"/>
          <w:kern w:val="0"/>
          <w:sz w:val="32"/>
          <w:szCs w:val="32"/>
        </w:rPr>
        <w:t>存在的</w:t>
      </w:r>
      <w:r>
        <w:rPr>
          <w:rFonts w:hint="eastAsia" w:ascii="Times New Roman" w:hAnsi="Times New Roman" w:eastAsia="黑体"/>
          <w:color w:val="222222"/>
          <w:kern w:val="0"/>
          <w:sz w:val="32"/>
          <w:szCs w:val="32"/>
        </w:rPr>
        <w:t>主要</w:t>
      </w:r>
      <w:r>
        <w:rPr>
          <w:rFonts w:ascii="Times New Roman" w:hAnsi="Times New Roman" w:eastAsia="黑体"/>
          <w:color w:val="222222"/>
          <w:kern w:val="0"/>
          <w:sz w:val="32"/>
          <w:szCs w:val="32"/>
        </w:rPr>
        <w:t>问题</w:t>
      </w:r>
      <w:r>
        <w:rPr>
          <w:rFonts w:hint="eastAsia" w:ascii="Times New Roman" w:hAnsi="Times New Roman" w:eastAsia="黑体"/>
          <w:color w:val="222222"/>
          <w:kern w:val="0"/>
          <w:sz w:val="32"/>
          <w:szCs w:val="32"/>
          <w:lang w:val="en-US" w:eastAsia="zh-CN"/>
        </w:rPr>
        <w:t>及原因分析</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lang w:val="en-US" w:eastAsia="zh-CN"/>
        </w:rPr>
        <w:t>1.</w:t>
      </w:r>
      <w:r>
        <w:rPr>
          <w:rFonts w:hint="eastAsia" w:ascii="仿宋_GB2312" w:hAnsi="仿宋_GB2312" w:eastAsia="仿宋_GB2312" w:cs="仿宋_GB2312"/>
          <w:color w:val="222222"/>
          <w:kern w:val="0"/>
          <w:sz w:val="32"/>
          <w:szCs w:val="32"/>
        </w:rPr>
        <w:t>区</w:t>
      </w:r>
      <w:r>
        <w:rPr>
          <w:rFonts w:hint="eastAsia" w:ascii="仿宋_GB2312" w:hAnsi="仿宋_GB2312" w:eastAsia="仿宋_GB2312" w:cs="仿宋_GB2312"/>
          <w:color w:val="222222"/>
          <w:kern w:val="0"/>
          <w:sz w:val="32"/>
          <w:szCs w:val="32"/>
          <w:lang w:eastAsia="zh-CN"/>
        </w:rPr>
        <w:t>委</w:t>
      </w:r>
      <w:r>
        <w:rPr>
          <w:rFonts w:hint="eastAsia" w:ascii="仿宋_GB2312" w:hAnsi="仿宋_GB2312" w:eastAsia="仿宋_GB2312" w:cs="仿宋_GB2312"/>
          <w:color w:val="222222"/>
          <w:kern w:val="0"/>
          <w:sz w:val="32"/>
          <w:szCs w:val="32"/>
        </w:rPr>
        <w:t>编办因部分工作不可预见性，有些支出无法纳入预算，导致预算执行存在偏差。</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lang w:eastAsia="zh-CN"/>
        </w:rPr>
        <w:t>改进措施：</w:t>
      </w:r>
      <w:r>
        <w:rPr>
          <w:rFonts w:hint="eastAsia" w:ascii="仿宋_GB2312" w:hAnsi="仿宋_GB2312" w:eastAsia="仿宋_GB2312" w:cs="仿宋_GB2312"/>
          <w:color w:val="222222"/>
          <w:kern w:val="0"/>
          <w:sz w:val="32"/>
          <w:szCs w:val="32"/>
        </w:rPr>
        <w:t>参考上一年的预算执行情况和年度的收支预测、部门重点工作等科学编制预算，避免年中大幅追加以及超预算。同时严格预算执行，提高资金使用效率。</w:t>
      </w:r>
    </w:p>
    <w:p>
      <w:pPr>
        <w:pStyle w:val="2"/>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222222"/>
          <w:kern w:val="0"/>
          <w:sz w:val="32"/>
          <w:szCs w:val="32"/>
          <w:lang w:val="en-US" w:eastAsia="zh-CN"/>
        </w:rPr>
      </w:pPr>
      <w:r>
        <w:rPr>
          <w:rFonts w:hint="eastAsia" w:ascii="仿宋_GB2312" w:hAnsi="仿宋_GB2312" w:eastAsia="仿宋_GB2312" w:cs="仿宋_GB2312"/>
          <w:color w:val="222222"/>
          <w:kern w:val="0"/>
          <w:sz w:val="32"/>
          <w:szCs w:val="32"/>
          <w:lang w:val="en-US" w:eastAsia="zh-CN"/>
        </w:rPr>
        <w:t>2.整体支出绩效管理意识有待提高，对部门整体支出绩效评价结果利用欠充分。</w:t>
      </w:r>
    </w:p>
    <w:p>
      <w:pPr>
        <w:pStyle w:val="2"/>
        <w:keepNext w:val="0"/>
        <w:keepLines w:val="0"/>
        <w:pageBreakBefore w:val="0"/>
        <w:numPr>
          <w:ilvl w:val="0"/>
          <w:numId w:val="0"/>
        </w:numPr>
        <w:kinsoku/>
        <w:wordWrap/>
        <w:overflowPunct/>
        <w:topLinePunct w:val="0"/>
        <w:autoSpaceDE/>
        <w:autoSpaceDN/>
        <w:bidi w:val="0"/>
        <w:adjustRightInd/>
        <w:spacing w:line="600" w:lineRule="exact"/>
        <w:textAlignment w:val="auto"/>
        <w:rPr>
          <w:rFonts w:hint="default" w:ascii="仿宋_GB2312" w:hAnsi="仿宋_GB2312" w:eastAsia="仿宋_GB2312" w:cs="仿宋_GB2312"/>
          <w:color w:val="222222"/>
          <w:kern w:val="0"/>
          <w:sz w:val="32"/>
          <w:szCs w:val="32"/>
          <w:lang w:val="en-US" w:eastAsia="zh-CN"/>
        </w:rPr>
      </w:pPr>
      <w:r>
        <w:rPr>
          <w:rFonts w:hint="eastAsia" w:ascii="仿宋_GB2312" w:hAnsi="仿宋_GB2312" w:eastAsia="仿宋_GB2312" w:cs="仿宋_GB2312"/>
          <w:color w:val="222222"/>
          <w:kern w:val="0"/>
          <w:sz w:val="32"/>
          <w:szCs w:val="32"/>
          <w:lang w:val="en-US" w:eastAsia="zh-CN"/>
        </w:rPr>
        <w:t xml:space="preserve">    改进措施：提升部门整体支出绩效管理意识，将绩效理念贯穿于预算编制与执行的全过程。对每个部门以及项目都分别制定相应的绩效指标，将部门整体支出绩效评价工作落实到每一笔费用支出当中，科学合理地对财政支出进行管理。</w:t>
      </w:r>
    </w:p>
    <w:p>
      <w:pPr>
        <w:keepNext w:val="0"/>
        <w:keepLines w:val="0"/>
        <w:pageBreakBefore w:val="0"/>
        <w:widowControl/>
        <w:numPr>
          <w:ilvl w:val="0"/>
          <w:numId w:val="0"/>
        </w:numPr>
        <w:kinsoku/>
        <w:wordWrap/>
        <w:overflowPunct/>
        <w:topLinePunct w:val="0"/>
        <w:autoSpaceDE/>
        <w:autoSpaceDN/>
        <w:bidi w:val="0"/>
        <w:adjustRightInd/>
        <w:spacing w:line="600" w:lineRule="exact"/>
        <w:ind w:left="640" w:leftChars="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八、</w:t>
      </w:r>
      <w:r>
        <w:rPr>
          <w:rFonts w:ascii="Times New Roman" w:hAnsi="Times New Roman" w:eastAsia="黑体"/>
          <w:color w:val="000000"/>
          <w:sz w:val="32"/>
          <w:szCs w:val="32"/>
        </w:rPr>
        <w:t>有关建议</w:t>
      </w:r>
    </w:p>
    <w:p>
      <w:pPr>
        <w:keepNext w:val="0"/>
        <w:keepLines w:val="0"/>
        <w:pageBreakBefore w:val="0"/>
        <w:widowControl/>
        <w:kinsoku/>
        <w:wordWrap/>
        <w:overflowPunct/>
        <w:topLinePunct w:val="0"/>
        <w:autoSpaceDE/>
        <w:autoSpaceDN/>
        <w:bidi w:val="0"/>
        <w:adjustRightInd/>
        <w:spacing w:line="600" w:lineRule="exact"/>
        <w:ind w:firstLine="640" w:firstLineChars="200"/>
        <w:jc w:val="center"/>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绩效管理不只是支出方面，应更加注重产出及效率，有利于强化单位支出的责任，提高财政资金的使用效益，更好地促进单位履行职责。再就是要严格按照政策标准，优化支出结构，加快</w:t>
      </w:r>
    </w:p>
    <w:p>
      <w:pPr>
        <w:keepNext w:val="0"/>
        <w:keepLines w:val="0"/>
        <w:pageBreakBefore w:val="0"/>
        <w:widowControl/>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工作进度，提高预算编制的科学化精细化水平。</w:t>
      </w: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222222"/>
          <w:kern w:val="0"/>
          <w:sz w:val="32"/>
          <w:szCs w:val="32"/>
        </w:rPr>
      </w:pPr>
    </w:p>
    <w:p>
      <w:pPr>
        <w:pStyle w:val="2"/>
        <w:keepNext w:val="0"/>
        <w:keepLines w:val="0"/>
        <w:pageBreakBefore w:val="0"/>
        <w:widowControl w:val="0"/>
        <w:kinsoku/>
        <w:wordWrap/>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color w:val="222222"/>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color w:val="222222"/>
          <w:kern w:val="0"/>
          <w:sz w:val="32"/>
          <w:szCs w:val="32"/>
          <w:lang w:val="en-US" w:eastAsia="zh-CN"/>
        </w:rPr>
      </w:pPr>
      <w:r>
        <w:rPr>
          <w:rFonts w:hint="eastAsia" w:ascii="仿宋_GB2312" w:hAnsi="仿宋_GB2312" w:eastAsia="仿宋_GB2312" w:cs="仿宋_GB2312"/>
          <w:color w:val="222222"/>
          <w:kern w:val="0"/>
          <w:sz w:val="32"/>
          <w:szCs w:val="32"/>
          <w:lang w:val="en-US" w:eastAsia="zh-CN"/>
        </w:rPr>
        <w:t>中共常德市武陵区委机构编制委员会办公室</w:t>
      </w:r>
    </w:p>
    <w:p>
      <w:pPr>
        <w:pStyle w:val="2"/>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黑体"/>
          <w:color w:val="000000"/>
          <w:sz w:val="32"/>
          <w:szCs w:val="32"/>
        </w:rPr>
      </w:pPr>
      <w:r>
        <w:rPr>
          <w:rFonts w:hint="eastAsia" w:ascii="仿宋_GB2312" w:hAnsi="仿宋_GB2312" w:eastAsia="仿宋_GB2312" w:cs="仿宋_GB2312"/>
          <w:color w:val="222222"/>
          <w:kern w:val="0"/>
          <w:sz w:val="32"/>
          <w:szCs w:val="32"/>
          <w:lang w:val="en-US" w:eastAsia="zh-CN"/>
        </w:rPr>
        <w:t xml:space="preserve">                   2022年7月22日</w:t>
      </w:r>
    </w:p>
    <w:sectPr>
      <w:footerReference r:id="rId3" w:type="default"/>
      <w:pgSz w:w="11906" w:h="16838"/>
      <w:pgMar w:top="2098" w:right="1418"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B53F3F"/>
    <w:multiLevelType w:val="singleLevel"/>
    <w:tmpl w:val="C6B53F3F"/>
    <w:lvl w:ilvl="0" w:tentative="0">
      <w:start w:val="4"/>
      <w:numFmt w:val="chineseCounting"/>
      <w:suff w:val="nothing"/>
      <w:lvlText w:val="%1、"/>
      <w:lvlJc w:val="left"/>
      <w:rPr>
        <w:rFonts w:hint="eastAsia"/>
      </w:rPr>
    </w:lvl>
  </w:abstractNum>
  <w:abstractNum w:abstractNumId="1">
    <w:nsid w:val="1F9E0216"/>
    <w:multiLevelType w:val="singleLevel"/>
    <w:tmpl w:val="1F9E0216"/>
    <w:lvl w:ilvl="0" w:tentative="0">
      <w:start w:val="2"/>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DEyZjdiZmYzNzUyNGFhMGEzNTg1ZWYxZTM5ODUifQ=="/>
  </w:docVars>
  <w:rsids>
    <w:rsidRoot w:val="6F8B5656"/>
    <w:rsid w:val="0A0F27BF"/>
    <w:rsid w:val="1422592A"/>
    <w:rsid w:val="247C0C07"/>
    <w:rsid w:val="316C1E1E"/>
    <w:rsid w:val="350366B7"/>
    <w:rsid w:val="477718D8"/>
    <w:rsid w:val="49A81FA4"/>
    <w:rsid w:val="4A8F6276"/>
    <w:rsid w:val="51434735"/>
    <w:rsid w:val="61ED04B8"/>
    <w:rsid w:val="6EE65CE8"/>
    <w:rsid w:val="6F8B5656"/>
    <w:rsid w:val="77BF4CFF"/>
    <w:rsid w:val="77D87A67"/>
    <w:rsid w:val="78F5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5412</Words>
  <Characters>5705</Characters>
  <Lines>0</Lines>
  <Paragraphs>0</Paragraphs>
  <TotalTime>396</TotalTime>
  <ScaleCrop>false</ScaleCrop>
  <LinksUpToDate>false</LinksUpToDate>
  <CharactersWithSpaces>5797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2022-07-15T07:12:00Z</dcterms:created>
  <dc:creator>梓曦奈er</dc:creator>
  <cp:lastModifiedBy>梓曦奈er</cp:lastModifiedBy>
  <cp:lastPrinted>2022-07-22T08:14:00Z</cp:lastPrinted>
  <dcterms:modified xsi:type="dcterms:W3CDTF">2022-09-20T05:35:12Z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D4F7793789774A16AC7C0176B1990BAD</vt:lpwstr>
  </property>
</Properties>
</file>